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B6768E" w:rsidP="00B6768E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68E">
        <w:rPr>
          <w:rFonts w:asciiTheme="majorBidi" w:hAnsiTheme="majorBidi" w:cstheme="majorBidi"/>
          <w:b/>
          <w:bCs/>
          <w:sz w:val="32"/>
          <w:szCs w:val="32"/>
        </w:rPr>
        <w:t>Judgement Contingent Settlements</w:t>
      </w:r>
    </w:p>
    <w:p w:rsidR="00DF6A60" w:rsidRDefault="00C63BBE" w:rsidP="00C63BBE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C63BBE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Shay Lavie</w:t>
      </w:r>
    </w:p>
    <w:p w:rsidR="00027EC8" w:rsidRPr="00AF79AC" w:rsidRDefault="00DF6A60" w:rsidP="00AA2757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AA2757" w:rsidRPr="00AA2757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Avraham Tabbach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  <w:r w:rsidRPr="00652539">
        <w:rPr>
          <w:rFonts w:asciiTheme="majorBidi" w:hAnsiTheme="majorBidi" w:cstheme="majorBidi"/>
          <w:sz w:val="26"/>
          <w:szCs w:val="26"/>
        </w:rPr>
        <w:t>Asymmetric information is widely considered a</w:t>
      </w:r>
      <w:r>
        <w:rPr>
          <w:rFonts w:asciiTheme="majorBidi" w:hAnsiTheme="majorBidi" w:cstheme="majorBidi"/>
          <w:sz w:val="26"/>
          <w:szCs w:val="26"/>
        </w:rPr>
        <w:t xml:space="preserve"> major obstacle to settlements.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In this paper, we argue that litigants facing asymmetric information can use a simple add-on to the settlement offer to alleviate the infor</w:t>
      </w:r>
      <w:r>
        <w:rPr>
          <w:rFonts w:asciiTheme="majorBidi" w:hAnsiTheme="majorBidi" w:cstheme="majorBidi"/>
          <w:sz w:val="26"/>
          <w:szCs w:val="26"/>
        </w:rPr>
        <w:t>mation barriers to settlements.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In particular, we show that informed parties can promise to pay an additional sum should they lose at trial (if the settlement proposal is rejected and a trial takes place) in exchange for a (possible</w:t>
      </w:r>
      <w:r>
        <w:rPr>
          <w:rFonts w:asciiTheme="majorBidi" w:hAnsiTheme="majorBidi" w:cstheme="majorBidi"/>
          <w:sz w:val="26"/>
          <w:szCs w:val="26"/>
        </w:rPr>
        <w:t>) payment from the other party.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We refer to the general class of these provisions as “Judg</w:t>
      </w:r>
      <w:r>
        <w:rPr>
          <w:rFonts w:asciiTheme="majorBidi" w:hAnsiTheme="majorBidi" w:cstheme="majorBidi"/>
          <w:sz w:val="26"/>
          <w:szCs w:val="26"/>
        </w:rPr>
        <w:t>ment-Contingent Clauses” (JCC).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We show that JCC’s enable informed parties to signal their type to the uninformed party costlessly, and accordingly decrease litigation rate and at the</w:t>
      </w:r>
      <w:r>
        <w:rPr>
          <w:rFonts w:asciiTheme="majorBidi" w:hAnsiTheme="majorBidi" w:cstheme="majorBidi"/>
          <w:sz w:val="26"/>
          <w:szCs w:val="26"/>
        </w:rPr>
        <w:t xml:space="preserve"> limit eliminate it altogether.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JCC’s manage to reduce litigation because they are costly to a party who misrepresents herself, but they could be costless to a party who presents herself truthfull</w:t>
      </w:r>
      <w:r>
        <w:rPr>
          <w:rFonts w:asciiTheme="majorBidi" w:hAnsiTheme="majorBidi" w:cstheme="majorBidi"/>
          <w:sz w:val="26"/>
          <w:szCs w:val="26"/>
        </w:rPr>
        <w:t>y through the settlement offer.</w:t>
      </w:r>
    </w:p>
    <w:p w:rsidR="00652539" w:rsidRPr="00652539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We further discuss possible limitations to such settlement clauses including wealth-constraints a</w:t>
      </w:r>
      <w:r>
        <w:rPr>
          <w:rFonts w:asciiTheme="majorBidi" w:hAnsiTheme="majorBidi" w:cstheme="majorBidi"/>
          <w:sz w:val="26"/>
          <w:szCs w:val="26"/>
        </w:rPr>
        <w:t>nd endogenous litigation costs.</w:t>
      </w:r>
    </w:p>
    <w:p w:rsidR="00652539" w:rsidRPr="00600DEA" w:rsidRDefault="00652539" w:rsidP="0065253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652539">
        <w:rPr>
          <w:rFonts w:asciiTheme="majorBidi" w:hAnsiTheme="majorBidi" w:cstheme="majorBidi"/>
          <w:sz w:val="26"/>
          <w:szCs w:val="26"/>
        </w:rPr>
        <w:t>We also provide the conditions under which our asymmetric information model predicts inverse-JCC’s, i.e., agreements to decrease rather than inflate the stakes of the trial, which resemble the more familiar high-low agreements.</w:t>
      </w:r>
    </w:p>
    <w:sectPr w:rsidR="00652539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DD" w:rsidRDefault="00102EDD" w:rsidP="00E74923">
      <w:pPr>
        <w:spacing w:after="0" w:line="240" w:lineRule="auto"/>
      </w:pPr>
      <w:r>
        <w:separator/>
      </w:r>
    </w:p>
  </w:endnote>
  <w:endnote w:type="continuationSeparator" w:id="0">
    <w:p w:rsidR="00102EDD" w:rsidRDefault="00102EDD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DD" w:rsidRDefault="00102EDD" w:rsidP="00E74923">
      <w:pPr>
        <w:spacing w:after="0" w:line="240" w:lineRule="auto"/>
      </w:pPr>
      <w:r>
        <w:separator/>
      </w:r>
    </w:p>
  </w:footnote>
  <w:footnote w:type="continuationSeparator" w:id="0">
    <w:p w:rsidR="00102EDD" w:rsidRDefault="00102EDD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2EDD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25B35"/>
    <w:rsid w:val="005323D0"/>
    <w:rsid w:val="005333FA"/>
    <w:rsid w:val="00550B68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2539"/>
    <w:rsid w:val="006565F8"/>
    <w:rsid w:val="00672EF8"/>
    <w:rsid w:val="006842D9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2757"/>
    <w:rsid w:val="00AD1963"/>
    <w:rsid w:val="00AD4DDD"/>
    <w:rsid w:val="00AE19A9"/>
    <w:rsid w:val="00AF6B6D"/>
    <w:rsid w:val="00AF79AC"/>
    <w:rsid w:val="00B4207E"/>
    <w:rsid w:val="00B617B9"/>
    <w:rsid w:val="00B635F8"/>
    <w:rsid w:val="00B6768E"/>
    <w:rsid w:val="00B802F1"/>
    <w:rsid w:val="00BC409F"/>
    <w:rsid w:val="00BE24D8"/>
    <w:rsid w:val="00BF6241"/>
    <w:rsid w:val="00C0018D"/>
    <w:rsid w:val="00C01D6E"/>
    <w:rsid w:val="00C322E6"/>
    <w:rsid w:val="00C562DC"/>
    <w:rsid w:val="00C63BBE"/>
    <w:rsid w:val="00C6403D"/>
    <w:rsid w:val="00C80C14"/>
    <w:rsid w:val="00C81457"/>
    <w:rsid w:val="00C84A45"/>
    <w:rsid w:val="00C973C3"/>
    <w:rsid w:val="00CB0E3C"/>
    <w:rsid w:val="00CB5CE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DF3AE3"/>
    <w:rsid w:val="00DF6A60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70AD-B4F8-4B43-87FA-F2917BEF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2017-01-20T13:02:00Z</dcterms:created>
  <dcterms:modified xsi:type="dcterms:W3CDTF">2018-11-16T12:30:00Z</dcterms:modified>
</cp:coreProperties>
</file>