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16" w:rsidRPr="000C7E22" w:rsidRDefault="003A2816" w:rsidP="003A2816">
      <w:pPr>
        <w:jc w:val="center"/>
        <w:rPr>
          <w:rFonts w:asciiTheme="majorBidi" w:hAnsiTheme="majorBidi" w:cstheme="majorBidi"/>
          <w:b/>
          <w:bCs/>
          <w:sz w:val="28"/>
          <w:szCs w:val="28"/>
        </w:rPr>
      </w:pPr>
      <w:r w:rsidRPr="000C7E22">
        <w:rPr>
          <w:rFonts w:asciiTheme="majorBidi" w:hAnsiTheme="majorBidi" w:cstheme="majorBidi"/>
          <w:b/>
          <w:bCs/>
          <w:sz w:val="28"/>
          <w:szCs w:val="28"/>
        </w:rPr>
        <w:t>Reaction to Non-Earning</w:t>
      </w:r>
      <w:r w:rsidR="003D6C1A" w:rsidRPr="000C7E22">
        <w:rPr>
          <w:rFonts w:asciiTheme="majorBidi" w:hAnsiTheme="majorBidi" w:cstheme="majorBidi"/>
          <w:b/>
          <w:bCs/>
          <w:sz w:val="28"/>
          <w:szCs w:val="28"/>
        </w:rPr>
        <w:t>s</w:t>
      </w:r>
      <w:r w:rsidRPr="000C7E22">
        <w:rPr>
          <w:rFonts w:asciiTheme="majorBidi" w:hAnsiTheme="majorBidi" w:cstheme="majorBidi"/>
          <w:b/>
          <w:bCs/>
          <w:sz w:val="28"/>
          <w:szCs w:val="28"/>
        </w:rPr>
        <w:t xml:space="preserve"> News </w:t>
      </w:r>
      <w:r w:rsidR="00950455" w:rsidRPr="000C7E22">
        <w:rPr>
          <w:rFonts w:asciiTheme="majorBidi" w:hAnsiTheme="majorBidi" w:cstheme="majorBidi"/>
          <w:b/>
          <w:bCs/>
          <w:sz w:val="28"/>
          <w:szCs w:val="28"/>
        </w:rPr>
        <w:t>and Analysts' Skill</w:t>
      </w:r>
    </w:p>
    <w:p w:rsidR="003A2816" w:rsidRPr="008B6492" w:rsidRDefault="003A2816" w:rsidP="003A2816">
      <w:pPr>
        <w:jc w:val="center"/>
        <w:rPr>
          <w:rFonts w:asciiTheme="majorBidi" w:hAnsiTheme="majorBidi" w:cstheme="majorBidi"/>
          <w:b/>
          <w:bCs/>
        </w:rPr>
      </w:pPr>
    </w:p>
    <w:p w:rsidR="00CB3704" w:rsidRDefault="00CB3704" w:rsidP="003A2816">
      <w:pPr>
        <w:jc w:val="center"/>
        <w:rPr>
          <w:rFonts w:asciiTheme="majorBidi" w:hAnsiTheme="majorBidi" w:cstheme="majorBidi"/>
          <w:b/>
          <w:bCs/>
        </w:rPr>
      </w:pPr>
    </w:p>
    <w:p w:rsidR="00CB3704" w:rsidRDefault="00CB3704" w:rsidP="00CB3704">
      <w:pPr>
        <w:pStyle w:val="StyleBoldCentered"/>
        <w:spacing w:after="0"/>
        <w:rPr>
          <w:szCs w:val="24"/>
        </w:rPr>
      </w:pPr>
    </w:p>
    <w:p w:rsidR="00CB3704" w:rsidRPr="00092EA5" w:rsidRDefault="00CB3704" w:rsidP="00CB3704">
      <w:pPr>
        <w:pStyle w:val="StyleBoldCentered"/>
        <w:spacing w:after="0"/>
        <w:rPr>
          <w:szCs w:val="24"/>
        </w:rPr>
      </w:pPr>
      <w:r>
        <w:rPr>
          <w:szCs w:val="24"/>
        </w:rPr>
        <w:t>Amir Rubin</w:t>
      </w:r>
    </w:p>
    <w:p w:rsidR="00CB3704" w:rsidRPr="00092EA5" w:rsidRDefault="00CB3704" w:rsidP="00CB3704">
      <w:pPr>
        <w:pStyle w:val="HTMLPreformatted"/>
        <w:jc w:val="center"/>
        <w:rPr>
          <w:rFonts w:ascii="Times New Roman" w:hAnsi="Times New Roman" w:cs="Times New Roman"/>
          <w:sz w:val="24"/>
          <w:szCs w:val="24"/>
        </w:rPr>
      </w:pPr>
      <w:r w:rsidRPr="00092EA5">
        <w:rPr>
          <w:rFonts w:ascii="Times New Roman" w:hAnsi="Times New Roman" w:cs="Times New Roman"/>
          <w:sz w:val="24"/>
          <w:szCs w:val="24"/>
        </w:rPr>
        <w:t>Interdisciplinary Center, Herzliya, Israel, and</w:t>
      </w:r>
    </w:p>
    <w:p w:rsidR="00CB3704" w:rsidRPr="00092EA5" w:rsidRDefault="00CB3704" w:rsidP="00CB3704">
      <w:pPr>
        <w:pStyle w:val="HTMLPreformatted"/>
        <w:jc w:val="center"/>
      </w:pPr>
      <w:r>
        <w:rPr>
          <w:rFonts w:ascii="Times New Roman" w:hAnsi="Times New Roman" w:cs="Times New Roman"/>
          <w:sz w:val="24"/>
          <w:szCs w:val="24"/>
        </w:rPr>
        <w:t>Simon Fraser University, Canada</w:t>
      </w:r>
    </w:p>
    <w:p w:rsidR="00CB3704" w:rsidRPr="00092EA5" w:rsidRDefault="003004F9" w:rsidP="00CB3704">
      <w:pPr>
        <w:pStyle w:val="HTMLPreformatted"/>
        <w:jc w:val="center"/>
        <w:rPr>
          <w:sz w:val="24"/>
          <w:szCs w:val="24"/>
        </w:rPr>
      </w:pPr>
      <w:hyperlink r:id="rId8" w:history="1">
        <w:r w:rsidR="00CB3704">
          <w:rPr>
            <w:rStyle w:val="Hyperlink"/>
            <w:rFonts w:ascii="Times New Roman" w:eastAsia="SimSun" w:hAnsi="Times New Roman"/>
          </w:rPr>
          <w:t>arubin@sfu.ca</w:t>
        </w:r>
      </w:hyperlink>
    </w:p>
    <w:p w:rsidR="00CB3704" w:rsidRDefault="00CB3704" w:rsidP="00CB3704">
      <w:pPr>
        <w:pStyle w:val="StyleBoldCentered"/>
        <w:spacing w:after="0"/>
        <w:rPr>
          <w:szCs w:val="24"/>
        </w:rPr>
      </w:pPr>
    </w:p>
    <w:p w:rsidR="00CB3704" w:rsidRPr="00092EA5" w:rsidRDefault="00CB3704" w:rsidP="00CB3704">
      <w:pPr>
        <w:pStyle w:val="StyleBoldCentered"/>
        <w:spacing w:after="0"/>
        <w:rPr>
          <w:szCs w:val="24"/>
        </w:rPr>
      </w:pPr>
      <w:r w:rsidRPr="00092EA5">
        <w:rPr>
          <w:szCs w:val="24"/>
        </w:rPr>
        <w:t>Benjamin Segal</w:t>
      </w:r>
    </w:p>
    <w:p w:rsidR="00CB3704" w:rsidRPr="00092EA5" w:rsidRDefault="00CB3704" w:rsidP="00CB3704">
      <w:pPr>
        <w:pStyle w:val="HTMLPreformatted"/>
        <w:jc w:val="center"/>
        <w:rPr>
          <w:rFonts w:ascii="Times New Roman" w:hAnsi="Times New Roman" w:cs="Times New Roman"/>
          <w:sz w:val="24"/>
          <w:szCs w:val="24"/>
        </w:rPr>
      </w:pPr>
      <w:r w:rsidRPr="00092EA5">
        <w:rPr>
          <w:rFonts w:ascii="Times New Roman" w:hAnsi="Times New Roman" w:cs="Times New Roman"/>
          <w:sz w:val="24"/>
          <w:szCs w:val="24"/>
        </w:rPr>
        <w:t>Accounting and Control Group</w:t>
      </w:r>
    </w:p>
    <w:p w:rsidR="00CB3704" w:rsidRPr="00092EA5" w:rsidRDefault="00CB3704" w:rsidP="00CB3704">
      <w:pPr>
        <w:pStyle w:val="HTMLPreformatted"/>
        <w:jc w:val="center"/>
        <w:rPr>
          <w:rFonts w:ascii="Times New Roman" w:hAnsi="Times New Roman" w:cs="Times New Roman"/>
          <w:sz w:val="24"/>
          <w:szCs w:val="24"/>
        </w:rPr>
      </w:pPr>
      <w:r w:rsidRPr="00092EA5">
        <w:rPr>
          <w:rFonts w:ascii="Times New Roman" w:hAnsi="Times New Roman" w:cs="Times New Roman"/>
          <w:sz w:val="24"/>
          <w:szCs w:val="24"/>
        </w:rPr>
        <w:t>INSEAD</w:t>
      </w:r>
    </w:p>
    <w:p w:rsidR="00CB3704" w:rsidRPr="00092EA5" w:rsidRDefault="00CB3704" w:rsidP="00CB3704">
      <w:pPr>
        <w:pStyle w:val="HTMLPreformatted"/>
        <w:jc w:val="center"/>
      </w:pPr>
      <w:r w:rsidRPr="00092EA5">
        <w:rPr>
          <w:rFonts w:ascii="Times New Roman" w:hAnsi="Times New Roman" w:cs="Times New Roman"/>
          <w:sz w:val="24"/>
          <w:szCs w:val="24"/>
        </w:rPr>
        <w:t>1 Ayer Rajah Ave., Singapore</w:t>
      </w:r>
    </w:p>
    <w:p w:rsidR="00CB3704" w:rsidRPr="00092EA5" w:rsidRDefault="003004F9" w:rsidP="00CB3704">
      <w:pPr>
        <w:pStyle w:val="HTMLPreformatted"/>
        <w:jc w:val="center"/>
        <w:rPr>
          <w:sz w:val="24"/>
          <w:szCs w:val="24"/>
        </w:rPr>
      </w:pPr>
      <w:hyperlink r:id="rId9" w:history="1">
        <w:r w:rsidR="00CB3704" w:rsidRPr="00092EA5">
          <w:rPr>
            <w:rStyle w:val="Hyperlink"/>
            <w:rFonts w:ascii="Times New Roman" w:eastAsia="SimSun" w:hAnsi="Times New Roman"/>
          </w:rPr>
          <w:t>Benjamin.Segal@insead.edu</w:t>
        </w:r>
      </w:hyperlink>
    </w:p>
    <w:p w:rsidR="00CB3704" w:rsidRPr="00092EA5" w:rsidRDefault="00CB3704" w:rsidP="00CB3704">
      <w:pPr>
        <w:pStyle w:val="StyleBoldCentered"/>
        <w:spacing w:after="0"/>
        <w:rPr>
          <w:szCs w:val="24"/>
        </w:rPr>
      </w:pPr>
    </w:p>
    <w:p w:rsidR="00CB3704" w:rsidRPr="00092EA5" w:rsidRDefault="00CB3704" w:rsidP="00CB3704">
      <w:pPr>
        <w:pStyle w:val="StyleBoldCentered"/>
        <w:spacing w:after="0"/>
        <w:rPr>
          <w:szCs w:val="24"/>
        </w:rPr>
      </w:pPr>
      <w:r w:rsidRPr="00092EA5">
        <w:rPr>
          <w:szCs w:val="24"/>
        </w:rPr>
        <w:t>Dan Segal</w:t>
      </w:r>
    </w:p>
    <w:p w:rsidR="00CB3704" w:rsidRPr="00092EA5" w:rsidRDefault="00CB3704" w:rsidP="00CB3704">
      <w:pPr>
        <w:pStyle w:val="HTMLPreformatted"/>
        <w:jc w:val="center"/>
        <w:rPr>
          <w:rFonts w:ascii="Times New Roman" w:hAnsi="Times New Roman" w:cs="Times New Roman"/>
          <w:sz w:val="24"/>
          <w:szCs w:val="24"/>
        </w:rPr>
      </w:pPr>
      <w:r w:rsidRPr="00092EA5">
        <w:rPr>
          <w:rFonts w:ascii="Times New Roman" w:hAnsi="Times New Roman" w:cs="Times New Roman"/>
          <w:sz w:val="24"/>
          <w:szCs w:val="24"/>
        </w:rPr>
        <w:t>Interdisciplinary Center, Herzliya, Israel, and</w:t>
      </w:r>
    </w:p>
    <w:p w:rsidR="00CB3704" w:rsidRPr="00092EA5" w:rsidRDefault="00CB3704" w:rsidP="00CB3704">
      <w:pPr>
        <w:pStyle w:val="HTMLPreformatted"/>
        <w:jc w:val="center"/>
      </w:pPr>
      <w:r w:rsidRPr="00092EA5">
        <w:rPr>
          <w:rFonts w:ascii="Times New Roman" w:hAnsi="Times New Roman" w:cs="Times New Roman"/>
          <w:sz w:val="24"/>
          <w:szCs w:val="24"/>
        </w:rPr>
        <w:t>Singapore Management University, Singapore</w:t>
      </w:r>
    </w:p>
    <w:p w:rsidR="00CB3704" w:rsidRPr="00092EA5" w:rsidRDefault="003004F9" w:rsidP="00CB3704">
      <w:pPr>
        <w:pStyle w:val="HTMLPreformatted"/>
        <w:jc w:val="center"/>
        <w:rPr>
          <w:rFonts w:ascii="Times New Roman" w:hAnsi="Times New Roman" w:cs="Times New Roman"/>
          <w:sz w:val="24"/>
          <w:szCs w:val="24"/>
        </w:rPr>
      </w:pPr>
      <w:hyperlink r:id="rId10" w:history="1">
        <w:r w:rsidR="00CB3704" w:rsidRPr="00092EA5">
          <w:rPr>
            <w:rStyle w:val="Hyperlink"/>
            <w:rFonts w:ascii="Times New Roman" w:eastAsia="SimSun" w:hAnsi="Times New Roman"/>
          </w:rPr>
          <w:t>dsegal@idc.ac.il</w:t>
        </w:r>
      </w:hyperlink>
    </w:p>
    <w:p w:rsidR="00CB3704" w:rsidRPr="00092EA5" w:rsidRDefault="00CB3704" w:rsidP="00CB3704">
      <w:pPr>
        <w:pStyle w:val="HTMLPreformatted"/>
        <w:jc w:val="center"/>
        <w:rPr>
          <w:rFonts w:ascii="Times New Roman" w:hAnsi="Times New Roman" w:cs="Times New Roman"/>
          <w:sz w:val="24"/>
          <w:szCs w:val="24"/>
        </w:rPr>
      </w:pPr>
    </w:p>
    <w:p w:rsidR="00CB3704" w:rsidRPr="00092EA5" w:rsidRDefault="00CB3704" w:rsidP="00CB3704">
      <w:pPr>
        <w:pStyle w:val="StyleBoldCentered"/>
        <w:spacing w:after="0" w:line="276" w:lineRule="auto"/>
        <w:rPr>
          <w:szCs w:val="24"/>
        </w:rPr>
      </w:pPr>
    </w:p>
    <w:p w:rsidR="00CB3704" w:rsidRPr="00092EA5" w:rsidRDefault="00CB3704" w:rsidP="00CB3704">
      <w:pPr>
        <w:pStyle w:val="StyleBoldCentered"/>
        <w:spacing w:after="0" w:line="276" w:lineRule="auto"/>
      </w:pPr>
      <w:r>
        <w:rPr>
          <w:szCs w:val="24"/>
        </w:rPr>
        <w:t>February</w:t>
      </w:r>
      <w:r w:rsidRPr="00092EA5">
        <w:rPr>
          <w:szCs w:val="24"/>
        </w:rPr>
        <w:t xml:space="preserve"> 201</w:t>
      </w:r>
      <w:r>
        <w:rPr>
          <w:szCs w:val="24"/>
        </w:rPr>
        <w:t>3</w:t>
      </w:r>
      <w:r w:rsidRPr="00092EA5">
        <w:rPr>
          <w:szCs w:val="24"/>
        </w:rPr>
        <w:t xml:space="preserve"> </w:t>
      </w:r>
    </w:p>
    <w:p w:rsidR="00CB3704" w:rsidRDefault="00CB3704" w:rsidP="003A2816">
      <w:pPr>
        <w:jc w:val="center"/>
        <w:rPr>
          <w:rFonts w:asciiTheme="majorBidi" w:hAnsiTheme="majorBidi" w:cstheme="majorBidi"/>
          <w:b/>
          <w:bCs/>
        </w:rPr>
      </w:pPr>
    </w:p>
    <w:p w:rsidR="00CB3704" w:rsidRDefault="00CB3704" w:rsidP="003A2816">
      <w:pPr>
        <w:jc w:val="center"/>
        <w:rPr>
          <w:rFonts w:asciiTheme="majorBidi" w:hAnsiTheme="majorBidi" w:cstheme="majorBidi"/>
          <w:b/>
          <w:bCs/>
        </w:rPr>
      </w:pPr>
    </w:p>
    <w:p w:rsidR="00CB3704" w:rsidRDefault="00CB3704" w:rsidP="003A2816">
      <w:pPr>
        <w:jc w:val="center"/>
        <w:rPr>
          <w:rFonts w:asciiTheme="majorBidi" w:hAnsiTheme="majorBidi" w:cstheme="majorBidi"/>
          <w:b/>
          <w:bCs/>
        </w:rPr>
      </w:pPr>
    </w:p>
    <w:p w:rsidR="00CB3704" w:rsidRDefault="00CB3704" w:rsidP="003A2816">
      <w:pPr>
        <w:jc w:val="center"/>
        <w:rPr>
          <w:rFonts w:asciiTheme="majorBidi" w:hAnsiTheme="majorBidi" w:cstheme="majorBidi"/>
          <w:b/>
          <w:bCs/>
        </w:rPr>
      </w:pPr>
    </w:p>
    <w:p w:rsidR="00CB3704" w:rsidRDefault="00CB3704" w:rsidP="003A2816">
      <w:pPr>
        <w:jc w:val="center"/>
        <w:rPr>
          <w:rFonts w:asciiTheme="majorBidi" w:hAnsiTheme="majorBidi" w:cstheme="majorBidi"/>
          <w:b/>
          <w:bCs/>
        </w:rPr>
      </w:pPr>
    </w:p>
    <w:p w:rsidR="003A2816" w:rsidRPr="008B6492" w:rsidRDefault="003A2816" w:rsidP="003A2816">
      <w:pPr>
        <w:jc w:val="center"/>
        <w:rPr>
          <w:rFonts w:asciiTheme="majorBidi" w:hAnsiTheme="majorBidi" w:cstheme="majorBidi"/>
          <w:b/>
          <w:bCs/>
        </w:rPr>
      </w:pPr>
    </w:p>
    <w:p w:rsidR="003A2816" w:rsidRPr="008B6492" w:rsidRDefault="003A2816" w:rsidP="003A2816">
      <w:pPr>
        <w:autoSpaceDE w:val="0"/>
        <w:autoSpaceDN w:val="0"/>
        <w:adjustRightInd w:val="0"/>
        <w:rPr>
          <w:rFonts w:asciiTheme="majorBidi" w:hAnsiTheme="majorBidi" w:cstheme="majorBidi"/>
          <w:b/>
          <w:bCs/>
          <w:lang w:bidi="he-IL"/>
        </w:rPr>
      </w:pPr>
      <w:r w:rsidRPr="008B6492">
        <w:rPr>
          <w:rFonts w:asciiTheme="majorBidi" w:hAnsiTheme="majorBidi" w:cstheme="majorBidi"/>
          <w:b/>
          <w:bCs/>
          <w:lang w:bidi="he-IL"/>
        </w:rPr>
        <w:t xml:space="preserve">Abstract: </w:t>
      </w:r>
    </w:p>
    <w:p w:rsidR="003A2816" w:rsidRPr="008B6492" w:rsidRDefault="00872E17" w:rsidP="003A2816">
      <w:pPr>
        <w:autoSpaceDE w:val="0"/>
        <w:autoSpaceDN w:val="0"/>
        <w:adjustRightInd w:val="0"/>
        <w:jc w:val="both"/>
        <w:rPr>
          <w:rFonts w:asciiTheme="majorBidi" w:hAnsiTheme="majorBidi" w:cstheme="majorBidi"/>
          <w:lang w:bidi="he-IL"/>
        </w:rPr>
      </w:pPr>
      <w:r>
        <w:rPr>
          <w:rFonts w:asciiTheme="majorBidi" w:hAnsiTheme="majorBidi" w:cstheme="majorBidi"/>
          <w:lang w:bidi="he-IL"/>
        </w:rPr>
        <w:t>This study</w:t>
      </w:r>
      <w:r w:rsidR="003A2816" w:rsidRPr="008B6492">
        <w:rPr>
          <w:rFonts w:asciiTheme="majorBidi" w:hAnsiTheme="majorBidi" w:cstheme="majorBidi"/>
          <w:lang w:bidi="he-IL"/>
        </w:rPr>
        <w:t xml:space="preserve"> analyze</w:t>
      </w:r>
      <w:r>
        <w:rPr>
          <w:rFonts w:asciiTheme="majorBidi" w:hAnsiTheme="majorBidi" w:cstheme="majorBidi"/>
          <w:lang w:bidi="he-IL"/>
        </w:rPr>
        <w:t>s</w:t>
      </w:r>
      <w:r w:rsidR="003A2816" w:rsidRPr="008B6492">
        <w:rPr>
          <w:rFonts w:asciiTheme="majorBidi" w:hAnsiTheme="majorBidi" w:cstheme="majorBidi"/>
          <w:lang w:bidi="he-IL"/>
        </w:rPr>
        <w:t xml:space="preserve"> </w:t>
      </w:r>
      <w:r w:rsidR="003A2816">
        <w:rPr>
          <w:rFonts w:asciiTheme="majorBidi" w:hAnsiTheme="majorBidi" w:cstheme="majorBidi"/>
          <w:lang w:bidi="he-IL"/>
        </w:rPr>
        <w:t xml:space="preserve">corporate </w:t>
      </w:r>
      <w:r w:rsidR="002C6604">
        <w:rPr>
          <w:rFonts w:asciiTheme="majorBidi" w:hAnsiTheme="majorBidi" w:cstheme="majorBidi"/>
          <w:lang w:bidi="he-IL"/>
        </w:rPr>
        <w:t>8-K</w:t>
      </w:r>
      <w:r w:rsidR="003A2816" w:rsidRPr="008B6492">
        <w:rPr>
          <w:rFonts w:asciiTheme="majorBidi" w:hAnsiTheme="majorBidi" w:cstheme="majorBidi"/>
          <w:lang w:bidi="he-IL"/>
        </w:rPr>
        <w:t xml:space="preserve"> releases and find</w:t>
      </w:r>
      <w:r>
        <w:rPr>
          <w:rFonts w:asciiTheme="majorBidi" w:hAnsiTheme="majorBidi" w:cstheme="majorBidi"/>
          <w:lang w:bidi="he-IL"/>
        </w:rPr>
        <w:t>s</w:t>
      </w:r>
      <w:r w:rsidR="003A2816" w:rsidRPr="008B6492">
        <w:rPr>
          <w:rFonts w:asciiTheme="majorBidi" w:hAnsiTheme="majorBidi" w:cstheme="majorBidi"/>
          <w:lang w:bidi="he-IL"/>
        </w:rPr>
        <w:t xml:space="preserve"> </w:t>
      </w:r>
      <w:r w:rsidR="002C6604">
        <w:rPr>
          <w:rFonts w:asciiTheme="majorBidi" w:hAnsiTheme="majorBidi" w:cstheme="majorBidi"/>
          <w:lang w:bidi="he-IL"/>
        </w:rPr>
        <w:t xml:space="preserve">that </w:t>
      </w:r>
      <w:r w:rsidR="003A2816">
        <w:rPr>
          <w:rFonts w:asciiTheme="majorBidi" w:hAnsiTheme="majorBidi" w:cstheme="majorBidi"/>
          <w:lang w:bidi="he-IL"/>
        </w:rPr>
        <w:t>w</w:t>
      </w:r>
      <w:r w:rsidR="003A2816" w:rsidRPr="008B6492">
        <w:rPr>
          <w:rFonts w:asciiTheme="majorBidi" w:hAnsiTheme="majorBidi" w:cstheme="majorBidi"/>
          <w:lang w:bidi="he-IL"/>
        </w:rPr>
        <w:t>hile approximately 70% of analysts revise their forecast</w:t>
      </w:r>
      <w:r>
        <w:rPr>
          <w:rFonts w:asciiTheme="majorBidi" w:hAnsiTheme="majorBidi" w:cstheme="majorBidi"/>
          <w:lang w:bidi="he-IL"/>
        </w:rPr>
        <w:t>s</w:t>
      </w:r>
      <w:r w:rsidR="003A2816" w:rsidRPr="008B6492">
        <w:rPr>
          <w:rFonts w:asciiTheme="majorBidi" w:hAnsiTheme="majorBidi" w:cstheme="majorBidi"/>
          <w:lang w:bidi="he-IL"/>
        </w:rPr>
        <w:t xml:space="preserve"> following </w:t>
      </w:r>
      <w:r w:rsidR="002C6604">
        <w:rPr>
          <w:rFonts w:asciiTheme="majorBidi" w:hAnsiTheme="majorBidi" w:cstheme="majorBidi"/>
          <w:lang w:bidi="he-IL"/>
        </w:rPr>
        <w:t>8-K</w:t>
      </w:r>
      <w:r w:rsidR="003A2816">
        <w:rPr>
          <w:rFonts w:asciiTheme="majorBidi" w:hAnsiTheme="majorBidi" w:cstheme="majorBidi"/>
          <w:lang w:bidi="he-IL"/>
        </w:rPr>
        <w:t xml:space="preserve"> </w:t>
      </w:r>
      <w:r w:rsidR="003A2816" w:rsidRPr="008B6492">
        <w:rPr>
          <w:rFonts w:asciiTheme="majorBidi" w:hAnsiTheme="majorBidi" w:cstheme="majorBidi"/>
          <w:lang w:bidi="he-IL"/>
        </w:rPr>
        <w:t xml:space="preserve">earning </w:t>
      </w:r>
      <w:r w:rsidR="003A2816">
        <w:rPr>
          <w:rFonts w:asciiTheme="majorBidi" w:hAnsiTheme="majorBidi" w:cstheme="majorBidi"/>
          <w:lang w:bidi="he-IL"/>
        </w:rPr>
        <w:t>releases</w:t>
      </w:r>
      <w:r w:rsidR="003A2816" w:rsidRPr="008B6492">
        <w:rPr>
          <w:rFonts w:asciiTheme="majorBidi" w:hAnsiTheme="majorBidi" w:cstheme="majorBidi"/>
          <w:lang w:bidi="he-IL"/>
        </w:rPr>
        <w:t xml:space="preserve">, the portion of analysts revising their forecasts after </w:t>
      </w:r>
      <w:r w:rsidR="00347580">
        <w:rPr>
          <w:rFonts w:asciiTheme="majorBidi" w:hAnsiTheme="majorBidi" w:cstheme="majorBidi"/>
          <w:lang w:bidi="he-IL"/>
        </w:rPr>
        <w:t xml:space="preserve">non-earnings </w:t>
      </w:r>
      <w:r w:rsidR="002C6604">
        <w:rPr>
          <w:rFonts w:asciiTheme="majorBidi" w:hAnsiTheme="majorBidi" w:cstheme="majorBidi"/>
          <w:lang w:bidi="he-IL"/>
        </w:rPr>
        <w:t>8-K</w:t>
      </w:r>
      <w:r w:rsidR="003A2816" w:rsidRPr="008B6492">
        <w:rPr>
          <w:rFonts w:asciiTheme="majorBidi" w:hAnsiTheme="majorBidi" w:cstheme="majorBidi"/>
          <w:lang w:bidi="he-IL"/>
        </w:rPr>
        <w:t xml:space="preserve"> is only 15%. We compare between </w:t>
      </w:r>
      <w:r w:rsidR="003A2816">
        <w:rPr>
          <w:rFonts w:asciiTheme="majorBidi" w:hAnsiTheme="majorBidi" w:cstheme="majorBidi"/>
          <w:lang w:bidi="he-IL"/>
        </w:rPr>
        <w:t xml:space="preserve">forecasts that are revised and forecasts that remain unchanged following </w:t>
      </w:r>
      <w:r w:rsidR="00347580">
        <w:rPr>
          <w:rFonts w:asciiTheme="majorBidi" w:hAnsiTheme="majorBidi" w:cstheme="majorBidi"/>
          <w:lang w:bidi="he-IL"/>
        </w:rPr>
        <w:t xml:space="preserve">non-earnings </w:t>
      </w:r>
      <w:r w:rsidR="002C6604">
        <w:rPr>
          <w:rFonts w:asciiTheme="majorBidi" w:hAnsiTheme="majorBidi" w:cstheme="majorBidi"/>
          <w:lang w:bidi="he-IL"/>
        </w:rPr>
        <w:t>8-K</w:t>
      </w:r>
      <w:r w:rsidR="003A2816">
        <w:rPr>
          <w:rFonts w:asciiTheme="majorBidi" w:hAnsiTheme="majorBidi" w:cstheme="majorBidi"/>
          <w:lang w:bidi="he-IL"/>
        </w:rPr>
        <w:t xml:space="preserve"> </w:t>
      </w:r>
      <w:r w:rsidR="00067AC1">
        <w:rPr>
          <w:rFonts w:asciiTheme="majorBidi" w:hAnsiTheme="majorBidi" w:cstheme="majorBidi"/>
          <w:lang w:bidi="he-IL"/>
        </w:rPr>
        <w:t xml:space="preserve">releases </w:t>
      </w:r>
      <w:r w:rsidR="003A2816">
        <w:rPr>
          <w:rFonts w:asciiTheme="majorBidi" w:hAnsiTheme="majorBidi" w:cstheme="majorBidi"/>
          <w:lang w:bidi="he-IL"/>
        </w:rPr>
        <w:t xml:space="preserve">and find that revised forecasts are associated with lower forecast error. </w:t>
      </w:r>
      <w:r w:rsidR="003A2816" w:rsidRPr="008B6492">
        <w:rPr>
          <w:rFonts w:asciiTheme="majorBidi" w:hAnsiTheme="majorBidi" w:cstheme="majorBidi"/>
          <w:lang w:bidi="he-IL"/>
        </w:rPr>
        <w:t xml:space="preserve">We also find that </w:t>
      </w:r>
      <w:r w:rsidR="003A2816">
        <w:rPr>
          <w:rFonts w:asciiTheme="majorBidi" w:hAnsiTheme="majorBidi" w:cstheme="majorBidi"/>
          <w:lang w:bidi="he-IL"/>
        </w:rPr>
        <w:t xml:space="preserve">analysts who </w:t>
      </w:r>
      <w:r w:rsidR="003A2816" w:rsidRPr="008B6492">
        <w:rPr>
          <w:rFonts w:asciiTheme="majorBidi" w:hAnsiTheme="majorBidi" w:cstheme="majorBidi"/>
          <w:lang w:bidi="he-IL"/>
        </w:rPr>
        <w:t>revis</w:t>
      </w:r>
      <w:r w:rsidR="003A2816">
        <w:rPr>
          <w:rFonts w:asciiTheme="majorBidi" w:hAnsiTheme="majorBidi" w:cstheme="majorBidi"/>
          <w:lang w:bidi="he-IL"/>
        </w:rPr>
        <w:t xml:space="preserve">e their forecasts after </w:t>
      </w:r>
      <w:r w:rsidR="003A2816" w:rsidRPr="008B6492">
        <w:rPr>
          <w:rFonts w:asciiTheme="majorBidi" w:hAnsiTheme="majorBidi" w:cstheme="majorBidi"/>
          <w:lang w:bidi="he-IL"/>
        </w:rPr>
        <w:t>non-earning 8-K</w:t>
      </w:r>
      <w:r>
        <w:rPr>
          <w:rFonts w:asciiTheme="majorBidi" w:hAnsiTheme="majorBidi" w:cstheme="majorBidi"/>
          <w:lang w:bidi="he-IL"/>
        </w:rPr>
        <w:t xml:space="preserve"> releases</w:t>
      </w:r>
      <w:r w:rsidR="003A2816" w:rsidRPr="008B6492">
        <w:rPr>
          <w:rFonts w:asciiTheme="majorBidi" w:hAnsiTheme="majorBidi" w:cstheme="majorBidi"/>
          <w:lang w:bidi="he-IL"/>
        </w:rPr>
        <w:t xml:space="preserve"> </w:t>
      </w:r>
      <w:r w:rsidR="00513930">
        <w:rPr>
          <w:rFonts w:asciiTheme="majorBidi" w:hAnsiTheme="majorBidi" w:cstheme="majorBidi"/>
          <w:lang w:bidi="he-IL"/>
        </w:rPr>
        <w:t xml:space="preserve">have more accurate and timelier forecasts in subsequent periods. </w:t>
      </w:r>
      <w:r w:rsidR="003A2816" w:rsidRPr="008B6492">
        <w:rPr>
          <w:rFonts w:asciiTheme="majorBidi" w:hAnsiTheme="majorBidi" w:cstheme="majorBidi"/>
          <w:lang w:bidi="he-IL"/>
        </w:rPr>
        <w:t xml:space="preserve">Overall, </w:t>
      </w:r>
      <w:r w:rsidR="00513930">
        <w:rPr>
          <w:rFonts w:asciiTheme="majorBidi" w:hAnsiTheme="majorBidi" w:cstheme="majorBidi"/>
          <w:lang w:bidi="he-IL"/>
        </w:rPr>
        <w:t>our</w:t>
      </w:r>
      <w:r w:rsidR="003A2816" w:rsidRPr="008B6492">
        <w:rPr>
          <w:rFonts w:asciiTheme="majorBidi" w:hAnsiTheme="majorBidi" w:cstheme="majorBidi"/>
          <w:lang w:bidi="he-IL"/>
        </w:rPr>
        <w:t xml:space="preserve"> findings </w:t>
      </w:r>
      <w:r w:rsidR="00513930">
        <w:rPr>
          <w:rFonts w:asciiTheme="majorBidi" w:hAnsiTheme="majorBidi" w:cstheme="majorBidi"/>
          <w:lang w:bidi="he-IL"/>
        </w:rPr>
        <w:t xml:space="preserve">indicate </w:t>
      </w:r>
      <w:r w:rsidR="003A2816" w:rsidRPr="008B6492">
        <w:rPr>
          <w:rFonts w:asciiTheme="majorBidi" w:hAnsiTheme="majorBidi" w:cstheme="majorBidi"/>
          <w:lang w:bidi="he-IL"/>
        </w:rPr>
        <w:t xml:space="preserve">that </w:t>
      </w:r>
      <w:r w:rsidR="00347580">
        <w:rPr>
          <w:rFonts w:asciiTheme="majorBidi" w:hAnsiTheme="majorBidi" w:cstheme="majorBidi"/>
          <w:lang w:bidi="he-IL"/>
        </w:rPr>
        <w:t xml:space="preserve">non-earnings </w:t>
      </w:r>
      <w:r w:rsidR="002C6604">
        <w:rPr>
          <w:rFonts w:asciiTheme="majorBidi" w:hAnsiTheme="majorBidi" w:cstheme="majorBidi"/>
          <w:lang w:bidi="he-IL"/>
        </w:rPr>
        <w:t>8-K</w:t>
      </w:r>
      <w:r>
        <w:rPr>
          <w:rFonts w:asciiTheme="majorBidi" w:hAnsiTheme="majorBidi" w:cstheme="majorBidi"/>
          <w:lang w:bidi="he-IL"/>
        </w:rPr>
        <w:t>s</w:t>
      </w:r>
      <w:r w:rsidR="003A2816">
        <w:rPr>
          <w:rFonts w:asciiTheme="majorBidi" w:hAnsiTheme="majorBidi" w:cstheme="majorBidi"/>
          <w:lang w:bidi="he-IL"/>
        </w:rPr>
        <w:t xml:space="preserve"> are informative </w:t>
      </w:r>
      <w:r w:rsidR="00513930">
        <w:rPr>
          <w:rFonts w:asciiTheme="majorBidi" w:hAnsiTheme="majorBidi" w:cstheme="majorBidi"/>
          <w:lang w:bidi="he-IL"/>
        </w:rPr>
        <w:t>about future earnings</w:t>
      </w:r>
      <w:r>
        <w:rPr>
          <w:rFonts w:asciiTheme="majorBidi" w:hAnsiTheme="majorBidi" w:cstheme="majorBidi"/>
          <w:lang w:bidi="he-IL"/>
        </w:rPr>
        <w:t>,</w:t>
      </w:r>
      <w:r w:rsidR="00513930">
        <w:rPr>
          <w:rFonts w:asciiTheme="majorBidi" w:hAnsiTheme="majorBidi" w:cstheme="majorBidi"/>
          <w:lang w:bidi="he-IL"/>
        </w:rPr>
        <w:t xml:space="preserve"> </w:t>
      </w:r>
      <w:r w:rsidR="003A2816">
        <w:rPr>
          <w:rFonts w:asciiTheme="majorBidi" w:hAnsiTheme="majorBidi" w:cstheme="majorBidi"/>
          <w:lang w:bidi="he-IL"/>
        </w:rPr>
        <w:t xml:space="preserve">and that </w:t>
      </w:r>
      <w:r w:rsidR="003A2816" w:rsidRPr="008B6492">
        <w:rPr>
          <w:rFonts w:asciiTheme="majorBidi" w:hAnsiTheme="majorBidi" w:cstheme="majorBidi"/>
          <w:lang w:bidi="he-IL"/>
        </w:rPr>
        <w:t xml:space="preserve">analysts </w:t>
      </w:r>
      <w:r w:rsidR="003A2816">
        <w:rPr>
          <w:rFonts w:asciiTheme="majorBidi" w:hAnsiTheme="majorBidi" w:cstheme="majorBidi"/>
          <w:lang w:bidi="he-IL"/>
        </w:rPr>
        <w:t xml:space="preserve">who </w:t>
      </w:r>
      <w:r w:rsidR="003A2816" w:rsidRPr="008B6492">
        <w:rPr>
          <w:rFonts w:asciiTheme="majorBidi" w:hAnsiTheme="majorBidi" w:cstheme="majorBidi"/>
          <w:lang w:bidi="he-IL"/>
        </w:rPr>
        <w:t xml:space="preserve">revise their forecast after </w:t>
      </w:r>
      <w:r w:rsidR="003A2816">
        <w:rPr>
          <w:rFonts w:asciiTheme="majorBidi" w:hAnsiTheme="majorBidi" w:cstheme="majorBidi"/>
          <w:lang w:bidi="he-IL"/>
        </w:rPr>
        <w:t>these</w:t>
      </w:r>
      <w:r w:rsidR="003A2816" w:rsidRPr="008B6492">
        <w:rPr>
          <w:rFonts w:asciiTheme="majorBidi" w:hAnsiTheme="majorBidi" w:cstheme="majorBidi"/>
          <w:lang w:bidi="he-IL"/>
        </w:rPr>
        <w:t xml:space="preserve"> releases</w:t>
      </w:r>
      <w:r w:rsidR="003A2816">
        <w:rPr>
          <w:rFonts w:asciiTheme="majorBidi" w:hAnsiTheme="majorBidi" w:cstheme="majorBidi"/>
          <w:lang w:bidi="he-IL"/>
        </w:rPr>
        <w:t xml:space="preserve"> </w:t>
      </w:r>
      <w:r w:rsidR="003A2816" w:rsidRPr="008B6492">
        <w:rPr>
          <w:rFonts w:asciiTheme="majorBidi" w:hAnsiTheme="majorBidi" w:cstheme="majorBidi"/>
          <w:lang w:bidi="he-IL"/>
        </w:rPr>
        <w:t xml:space="preserve">are skillful. </w:t>
      </w:r>
    </w:p>
    <w:p w:rsidR="003A2816" w:rsidRPr="008B6492" w:rsidRDefault="003A2816" w:rsidP="003A2816">
      <w:pPr>
        <w:autoSpaceDE w:val="0"/>
        <w:autoSpaceDN w:val="0"/>
        <w:adjustRightInd w:val="0"/>
        <w:rPr>
          <w:rFonts w:asciiTheme="majorBidi" w:hAnsiTheme="majorBidi" w:cstheme="majorBidi"/>
          <w:lang w:bidi="he-IL"/>
        </w:rPr>
      </w:pPr>
    </w:p>
    <w:p w:rsidR="003A2816" w:rsidRPr="008B6492" w:rsidRDefault="003A2816" w:rsidP="003A2816">
      <w:pPr>
        <w:autoSpaceDE w:val="0"/>
        <w:autoSpaceDN w:val="0"/>
        <w:adjustRightInd w:val="0"/>
        <w:rPr>
          <w:rFonts w:asciiTheme="majorBidi" w:hAnsiTheme="majorBidi" w:cstheme="majorBidi"/>
          <w:lang w:bidi="he-IL"/>
        </w:rPr>
      </w:pPr>
      <w:r w:rsidRPr="008B6492">
        <w:rPr>
          <w:rFonts w:asciiTheme="majorBidi" w:hAnsiTheme="majorBidi" w:cstheme="majorBidi"/>
          <w:lang w:bidi="he-IL"/>
        </w:rPr>
        <w:t xml:space="preserve">Keywords: Analysts, Corporate disclosure, Forecast, Timeliness, </w:t>
      </w:r>
      <w:r w:rsidR="002C6604">
        <w:rPr>
          <w:rFonts w:asciiTheme="majorBidi" w:hAnsiTheme="majorBidi" w:cstheme="majorBidi"/>
          <w:lang w:bidi="he-IL"/>
        </w:rPr>
        <w:t>8-K</w:t>
      </w:r>
    </w:p>
    <w:p w:rsidR="003A2816" w:rsidRPr="008B6492" w:rsidRDefault="003A2816" w:rsidP="003A2816">
      <w:pPr>
        <w:jc w:val="center"/>
        <w:rPr>
          <w:rFonts w:asciiTheme="majorBidi" w:hAnsiTheme="majorBidi" w:cstheme="majorBidi"/>
          <w:b/>
          <w:bCs/>
        </w:rPr>
      </w:pPr>
    </w:p>
    <w:p w:rsidR="003A2816" w:rsidRPr="00CA0423" w:rsidRDefault="003A2816" w:rsidP="00CA0423">
      <w:pPr>
        <w:spacing w:line="480" w:lineRule="auto"/>
        <w:rPr>
          <w:rFonts w:asciiTheme="majorBidi" w:hAnsiTheme="majorBidi" w:cstheme="majorBidi"/>
          <w:b/>
          <w:bCs/>
        </w:rPr>
      </w:pPr>
      <w:r w:rsidRPr="008B6492">
        <w:rPr>
          <w:rFonts w:asciiTheme="majorBidi" w:hAnsiTheme="majorBidi" w:cstheme="majorBidi"/>
          <w:b/>
          <w:bCs/>
        </w:rPr>
        <w:br w:type="page"/>
      </w:r>
      <w:r w:rsidR="00CA0423">
        <w:rPr>
          <w:rFonts w:asciiTheme="majorBidi" w:hAnsiTheme="majorBidi" w:cstheme="majorBidi"/>
          <w:b/>
          <w:bCs/>
        </w:rPr>
        <w:lastRenderedPageBreak/>
        <w:t xml:space="preserve">1. </w:t>
      </w:r>
      <w:r w:rsidRPr="009D244E">
        <w:rPr>
          <w:rFonts w:asciiTheme="majorBidi" w:hAnsiTheme="majorBidi" w:cstheme="majorBidi"/>
          <w:b/>
          <w:bCs/>
          <w:sz w:val="28"/>
          <w:szCs w:val="28"/>
          <w:lang w:val="en-CA"/>
        </w:rPr>
        <w:t>Introduction</w:t>
      </w:r>
    </w:p>
    <w:p w:rsidR="004D1EAE" w:rsidRDefault="004D1EAE" w:rsidP="004D1EAE">
      <w:pPr>
        <w:autoSpaceDE w:val="0"/>
        <w:autoSpaceDN w:val="0"/>
        <w:adjustRightInd w:val="0"/>
        <w:spacing w:line="480" w:lineRule="auto"/>
        <w:ind w:firstLine="720"/>
        <w:jc w:val="both"/>
        <w:rPr>
          <w:rFonts w:asciiTheme="majorBidi" w:hAnsiTheme="majorBidi" w:cstheme="majorBidi"/>
        </w:rPr>
      </w:pPr>
      <w:r w:rsidRPr="008B6492">
        <w:rPr>
          <w:rFonts w:asciiTheme="majorBidi" w:hAnsiTheme="majorBidi" w:cstheme="majorBidi"/>
          <w:lang w:bidi="he-IL"/>
        </w:rPr>
        <w:t xml:space="preserve">Corporate disclosure and financial </w:t>
      </w:r>
      <w:r w:rsidR="00102EC0" w:rsidRPr="008B6492">
        <w:rPr>
          <w:rFonts w:asciiTheme="majorBidi" w:hAnsiTheme="majorBidi" w:cstheme="majorBidi"/>
          <w:lang w:bidi="he-IL"/>
        </w:rPr>
        <w:t>analy</w:t>
      </w:r>
      <w:r w:rsidR="00872E17">
        <w:rPr>
          <w:rFonts w:asciiTheme="majorBidi" w:hAnsiTheme="majorBidi" w:cstheme="majorBidi"/>
          <w:lang w:bidi="he-IL"/>
        </w:rPr>
        <w:t>sis</w:t>
      </w:r>
      <w:r w:rsidR="00102EC0" w:rsidRPr="008B6492">
        <w:rPr>
          <w:rFonts w:asciiTheme="majorBidi" w:hAnsiTheme="majorBidi" w:cstheme="majorBidi"/>
          <w:lang w:bidi="he-IL"/>
        </w:rPr>
        <w:t xml:space="preserve"> </w:t>
      </w:r>
      <w:r w:rsidRPr="008B6492">
        <w:rPr>
          <w:rFonts w:asciiTheme="majorBidi" w:hAnsiTheme="majorBidi" w:cstheme="majorBidi"/>
          <w:lang w:bidi="he-IL"/>
        </w:rPr>
        <w:t xml:space="preserve">are critical for </w:t>
      </w:r>
      <w:r>
        <w:rPr>
          <w:rFonts w:asciiTheme="majorBidi" w:hAnsiTheme="majorBidi" w:cstheme="majorBidi"/>
          <w:lang w:bidi="he-IL"/>
        </w:rPr>
        <w:t>a</w:t>
      </w:r>
      <w:r w:rsidRPr="008B6492">
        <w:rPr>
          <w:rFonts w:asciiTheme="majorBidi" w:hAnsiTheme="majorBidi" w:cstheme="majorBidi"/>
          <w:lang w:bidi="he-IL"/>
        </w:rPr>
        <w:t xml:space="preserve"> well-functioning </w:t>
      </w:r>
      <w:r>
        <w:rPr>
          <w:rFonts w:asciiTheme="majorBidi" w:hAnsiTheme="majorBidi" w:cstheme="majorBidi"/>
          <w:lang w:bidi="he-IL"/>
        </w:rPr>
        <w:t>and</w:t>
      </w:r>
      <w:r w:rsidRPr="008B6492">
        <w:rPr>
          <w:rFonts w:asciiTheme="majorBidi" w:hAnsiTheme="majorBidi" w:cstheme="majorBidi"/>
          <w:lang w:bidi="he-IL"/>
        </w:rPr>
        <w:t xml:space="preserve"> efficient capital market.</w:t>
      </w:r>
      <w:r>
        <w:rPr>
          <w:rFonts w:asciiTheme="majorBidi" w:hAnsiTheme="majorBidi" w:cstheme="majorBidi"/>
          <w:lang w:bidi="he-IL"/>
        </w:rPr>
        <w:t xml:space="preserve"> </w:t>
      </w:r>
      <w:r w:rsidR="00096EAF">
        <w:rPr>
          <w:rFonts w:asciiTheme="majorBidi" w:hAnsiTheme="majorBidi" w:cstheme="majorBidi"/>
          <w:lang w:bidi="he-IL"/>
        </w:rPr>
        <w:t>While the objective of corporate disclosure is to reduce asymmetry between management and shareholders, one of the analyst</w:t>
      </w:r>
      <w:r w:rsidR="00872E17">
        <w:rPr>
          <w:rFonts w:asciiTheme="majorBidi" w:hAnsiTheme="majorBidi" w:cstheme="majorBidi"/>
          <w:lang w:bidi="he-IL"/>
        </w:rPr>
        <w:t>’</w:t>
      </w:r>
      <w:r w:rsidR="00096EAF">
        <w:rPr>
          <w:rFonts w:asciiTheme="majorBidi" w:hAnsiTheme="majorBidi" w:cstheme="majorBidi"/>
          <w:lang w:bidi="he-IL"/>
        </w:rPr>
        <w:t xml:space="preserve">s roles is to assist investors in the interpretation of such disclosure. </w:t>
      </w:r>
      <w:r>
        <w:rPr>
          <w:rFonts w:asciiTheme="majorBidi" w:hAnsiTheme="majorBidi" w:cstheme="majorBidi"/>
          <w:lang w:bidi="he-IL"/>
        </w:rPr>
        <w:t>In their interpretation role, analysts routinely receive public information and use their expertise and knowledge to interpret the information and transform it to forecasts and recommendations that are then used by investors in making investment decision (</w:t>
      </w:r>
      <w:r w:rsidRPr="004052B7">
        <w:rPr>
          <w:rFonts w:asciiTheme="majorBidi" w:hAnsiTheme="majorBidi" w:cstheme="majorBidi"/>
          <w:lang w:bidi="he-IL"/>
        </w:rPr>
        <w:t>e.g., Ivkovic and Jegadeesh</w:t>
      </w:r>
      <w:r>
        <w:rPr>
          <w:rFonts w:asciiTheme="majorBidi" w:hAnsiTheme="majorBidi" w:cstheme="majorBidi"/>
          <w:lang w:bidi="he-IL"/>
        </w:rPr>
        <w:t>,</w:t>
      </w:r>
      <w:r w:rsidRPr="004052B7">
        <w:rPr>
          <w:rFonts w:asciiTheme="majorBidi" w:hAnsiTheme="majorBidi" w:cstheme="majorBidi"/>
          <w:lang w:bidi="he-IL"/>
        </w:rPr>
        <w:t xml:space="preserve"> 2004; Asquith et al.</w:t>
      </w:r>
      <w:r>
        <w:rPr>
          <w:rFonts w:asciiTheme="majorBidi" w:hAnsiTheme="majorBidi" w:cstheme="majorBidi"/>
          <w:lang w:bidi="he-IL"/>
        </w:rPr>
        <w:t>,</w:t>
      </w:r>
      <w:r w:rsidRPr="004052B7">
        <w:rPr>
          <w:rFonts w:asciiTheme="majorBidi" w:hAnsiTheme="majorBidi" w:cstheme="majorBidi"/>
          <w:lang w:bidi="he-IL"/>
        </w:rPr>
        <w:t xml:space="preserve"> 2005</w:t>
      </w:r>
      <w:r>
        <w:rPr>
          <w:rFonts w:asciiTheme="majorBidi" w:hAnsiTheme="majorBidi" w:cstheme="majorBidi"/>
          <w:lang w:bidi="he-IL"/>
        </w:rPr>
        <w:t>; Chen et al., 2010</w:t>
      </w:r>
      <w:r w:rsidRPr="004052B7">
        <w:rPr>
          <w:rFonts w:asciiTheme="majorBidi" w:hAnsiTheme="majorBidi" w:cstheme="majorBidi"/>
          <w:lang w:bidi="he-IL"/>
        </w:rPr>
        <w:t>)</w:t>
      </w:r>
      <w:r>
        <w:rPr>
          <w:rFonts w:asciiTheme="majorBidi" w:hAnsiTheme="majorBidi" w:cstheme="majorBidi"/>
          <w:lang w:bidi="he-IL"/>
        </w:rPr>
        <w:t>.</w:t>
      </w:r>
      <w:r>
        <w:rPr>
          <w:rStyle w:val="FootnoteReference"/>
          <w:rFonts w:asciiTheme="majorBidi" w:hAnsiTheme="majorBidi" w:cstheme="majorBidi"/>
          <w:lang w:bidi="he-IL"/>
        </w:rPr>
        <w:footnoteReference w:id="1"/>
      </w:r>
      <w:r>
        <w:rPr>
          <w:rFonts w:asciiTheme="majorBidi" w:hAnsiTheme="majorBidi" w:cstheme="majorBidi"/>
          <w:lang w:bidi="he-IL"/>
        </w:rPr>
        <w:t xml:space="preserve"> In this study we analyze the quality of </w:t>
      </w:r>
      <w:r w:rsidR="00872E17">
        <w:rPr>
          <w:rFonts w:asciiTheme="majorBidi" w:hAnsiTheme="majorBidi" w:cstheme="majorBidi"/>
          <w:lang w:bidi="he-IL"/>
        </w:rPr>
        <w:t xml:space="preserve">the </w:t>
      </w:r>
      <w:r>
        <w:rPr>
          <w:rFonts w:asciiTheme="majorBidi" w:hAnsiTheme="majorBidi" w:cstheme="majorBidi"/>
          <w:lang w:bidi="he-IL"/>
        </w:rPr>
        <w:t>analyst</w:t>
      </w:r>
      <w:r w:rsidR="00872E17">
        <w:rPr>
          <w:rFonts w:asciiTheme="majorBidi" w:hAnsiTheme="majorBidi" w:cstheme="majorBidi"/>
          <w:lang w:bidi="he-IL"/>
        </w:rPr>
        <w:t>’s</w:t>
      </w:r>
      <w:r>
        <w:rPr>
          <w:rFonts w:asciiTheme="majorBidi" w:hAnsiTheme="majorBidi" w:cstheme="majorBidi"/>
          <w:lang w:bidi="he-IL"/>
        </w:rPr>
        <w:t xml:space="preserve"> interpretation role by examining whether analysts react to non-earnings related information by issuing a revised forecast, and whether such reaction is indicative of superior ability.</w:t>
      </w:r>
      <w:r w:rsidRPr="004052B7">
        <w:rPr>
          <w:rFonts w:asciiTheme="majorBidi" w:hAnsiTheme="majorBidi" w:cstheme="majorBidi"/>
          <w:lang w:bidi="he-IL"/>
        </w:rPr>
        <w:t xml:space="preserve"> </w:t>
      </w:r>
      <w:r>
        <w:rPr>
          <w:rFonts w:asciiTheme="majorBidi" w:hAnsiTheme="majorBidi" w:cstheme="majorBidi"/>
          <w:lang w:bidi="he-IL"/>
        </w:rPr>
        <w:t xml:space="preserve">While research shows that analysts do not fully incorporate in their forecast non-earnings information that has direct impact on future earnings </w:t>
      </w:r>
      <w:r w:rsidRPr="008B6492">
        <w:rPr>
          <w:rFonts w:asciiTheme="majorBidi" w:hAnsiTheme="majorBidi" w:cstheme="majorBidi"/>
        </w:rPr>
        <w:t>(Bartov and Bondar, 1994; Elliott et al., 1995; Abarbanell and Bushee, 1997; Chaney et al., 1999; Bradshaw et al., 2001)</w:t>
      </w:r>
      <w:r>
        <w:rPr>
          <w:rFonts w:asciiTheme="majorBidi" w:hAnsiTheme="majorBidi" w:cstheme="majorBidi"/>
        </w:rPr>
        <w:t>, we provide large scale evidence on analysts' ability to interpret such information using a comprehensive data of 8-K reports</w:t>
      </w:r>
      <w:r w:rsidR="00102EC0">
        <w:rPr>
          <w:rFonts w:asciiTheme="majorBidi" w:hAnsiTheme="majorBidi" w:cstheme="majorBidi"/>
        </w:rPr>
        <w:t>, and show that the ability to react to non-earnings information is indicative of skill</w:t>
      </w:r>
      <w:r>
        <w:rPr>
          <w:rFonts w:asciiTheme="majorBidi" w:hAnsiTheme="majorBidi" w:cstheme="majorBidi"/>
        </w:rPr>
        <w:t xml:space="preserve">. </w:t>
      </w:r>
    </w:p>
    <w:p w:rsidR="004D1EAE" w:rsidRDefault="004D1EAE" w:rsidP="004D1EAE">
      <w:pPr>
        <w:autoSpaceDE w:val="0"/>
        <w:autoSpaceDN w:val="0"/>
        <w:adjustRightInd w:val="0"/>
        <w:spacing w:line="480" w:lineRule="auto"/>
        <w:ind w:firstLine="720"/>
        <w:jc w:val="both"/>
        <w:rPr>
          <w:rFonts w:eastAsia="Times New Roman"/>
          <w:bCs/>
        </w:rPr>
      </w:pPr>
      <w:r w:rsidRPr="00092EA5">
        <w:t xml:space="preserve">We focus on the disclosure of </w:t>
      </w:r>
      <w:r w:rsidRPr="00092EA5">
        <w:rPr>
          <w:rFonts w:eastAsia="Times New Roman"/>
          <w:bCs/>
        </w:rPr>
        <w:t xml:space="preserve">Form 8-K (“current report”), which is used to announce major events of interest to security holders. Events that would trigger an obligation to file Form 8-K include those affecting the registrant’s business and operations, financial information, securities and trading markets, accountants and financial statements, or corporate governance and management. </w:t>
      </w:r>
      <w:r>
        <w:rPr>
          <w:rFonts w:eastAsia="Times New Roman"/>
          <w:bCs/>
        </w:rPr>
        <w:t>R</w:t>
      </w:r>
      <w:r w:rsidRPr="00092EA5">
        <w:rPr>
          <w:rFonts w:eastAsia="Times New Roman"/>
          <w:bCs/>
        </w:rPr>
        <w:t xml:space="preserve">eportable items </w:t>
      </w:r>
      <w:r w:rsidRPr="00092EA5">
        <w:rPr>
          <w:rFonts w:eastAsia="Times New Roman"/>
          <w:bCs/>
        </w:rPr>
        <w:lastRenderedPageBreak/>
        <w:t xml:space="preserve">include </w:t>
      </w:r>
      <w:r>
        <w:rPr>
          <w:rFonts w:eastAsia="Times New Roman"/>
          <w:bCs/>
        </w:rPr>
        <w:t xml:space="preserve">the widely studied earnings news, but also the following items: </w:t>
      </w:r>
      <w:r w:rsidRPr="00092EA5">
        <w:rPr>
          <w:rFonts w:eastAsia="Times New Roman"/>
          <w:bCs/>
        </w:rPr>
        <w:t>entry into a material agreement or its termination, bankruptcy or receivership, completion of acquisition or disposition of assets, results of operations and financial condition, costs associated with exit or disposal activities, material impairments, departure of directors or certain officers, Regulation FD disclosure, notice of de-listing</w:t>
      </w:r>
      <w:r w:rsidR="004B1E97">
        <w:rPr>
          <w:rFonts w:eastAsia="Times New Roman"/>
          <w:bCs/>
        </w:rPr>
        <w:t>,</w:t>
      </w:r>
      <w:r w:rsidRPr="00092EA5">
        <w:rPr>
          <w:rFonts w:eastAsia="Times New Roman"/>
          <w:bCs/>
        </w:rPr>
        <w:t xml:space="preserve"> and change of auditor, to name a few.</w:t>
      </w:r>
    </w:p>
    <w:p w:rsidR="004D1EAE" w:rsidRDefault="004D1EAE" w:rsidP="009C7D1C">
      <w:pPr>
        <w:spacing w:line="480" w:lineRule="auto"/>
        <w:ind w:firstLine="567"/>
        <w:jc w:val="both"/>
      </w:pPr>
      <w:r>
        <w:rPr>
          <w:rFonts w:eastAsia="Times New Roman"/>
          <w:bCs/>
        </w:rPr>
        <w:t>An especially appealing feature of the 8-K form is that it generally conveys economically important information that triggers market reaction in the form of abnormal equity return and trading volume (</w:t>
      </w:r>
      <w:r w:rsidRPr="00092EA5">
        <w:rPr>
          <w:rFonts w:eastAsia="Times New Roman"/>
          <w:bCs/>
        </w:rPr>
        <w:t>Livnat and Lerman</w:t>
      </w:r>
      <w:r>
        <w:rPr>
          <w:rFonts w:eastAsia="Times New Roman"/>
          <w:bCs/>
        </w:rPr>
        <w:t>,</w:t>
      </w:r>
      <w:r w:rsidRPr="00092EA5">
        <w:rPr>
          <w:rFonts w:eastAsia="Times New Roman"/>
          <w:bCs/>
        </w:rPr>
        <w:t xml:space="preserve"> </w:t>
      </w:r>
      <w:r>
        <w:rPr>
          <w:rFonts w:eastAsia="Times New Roman"/>
          <w:bCs/>
        </w:rPr>
        <w:t>2</w:t>
      </w:r>
      <w:r w:rsidRPr="00092EA5">
        <w:rPr>
          <w:rFonts w:eastAsia="Times New Roman"/>
          <w:bCs/>
        </w:rPr>
        <w:t>009</w:t>
      </w:r>
      <w:r>
        <w:rPr>
          <w:rFonts w:eastAsia="Times New Roman"/>
          <w:bCs/>
        </w:rPr>
        <w:t>). In addition, the format of the reporting enables us to clearly identify whether the form includes earnings or non-earnings related informatio</w:t>
      </w:r>
      <w:r w:rsidR="001F017B">
        <w:rPr>
          <w:rFonts w:eastAsia="Times New Roman"/>
          <w:bCs/>
        </w:rPr>
        <w:t>n,</w:t>
      </w:r>
      <w:r>
        <w:rPr>
          <w:rFonts w:eastAsia="Times New Roman"/>
          <w:bCs/>
        </w:rPr>
        <w:t xml:space="preserve"> thereby allowing us to analyze the analyst</w:t>
      </w:r>
      <w:r w:rsidR="004B1E97">
        <w:rPr>
          <w:rFonts w:eastAsia="Times New Roman"/>
          <w:bCs/>
        </w:rPr>
        <w:t>’s</w:t>
      </w:r>
      <w:r>
        <w:rPr>
          <w:rFonts w:eastAsia="Times New Roman"/>
          <w:bCs/>
        </w:rPr>
        <w:t xml:space="preserve"> reaction to non-earnings news. </w:t>
      </w:r>
      <w:r>
        <w:t>Importantly</w:t>
      </w:r>
      <w:r w:rsidRPr="00092EA5">
        <w:t xml:space="preserve">, 8-K filings that are not related to earnings announcements </w:t>
      </w:r>
      <w:r>
        <w:t>arrive</w:t>
      </w:r>
      <w:r w:rsidRPr="00092EA5">
        <w:t xml:space="preserve"> idiosyncratic</w:t>
      </w:r>
      <w:r>
        <w:t>ally</w:t>
      </w:r>
      <w:r w:rsidRPr="00092EA5">
        <w:t xml:space="preserve"> as they depend on the occurrence of events which necessitate the reporting of “current” events</w:t>
      </w:r>
      <w:r w:rsidR="004B1E97">
        <w:t>, which</w:t>
      </w:r>
      <w:r w:rsidRPr="00092EA5">
        <w:t xml:space="preserve"> are unscheduled by their nature</w:t>
      </w:r>
      <w:r w:rsidR="001F017B">
        <w:rPr>
          <w:lang w:bidi="he-IL"/>
        </w:rPr>
        <w:t>. Therefore, it is unlikely that analysts predicted the event and adjusted for its impact on future earnings prior to the 8-K filing.</w:t>
      </w:r>
      <w:r w:rsidRPr="00092EA5">
        <w:t xml:space="preserve"> </w:t>
      </w:r>
      <w:r w:rsidR="001F017B">
        <w:t>Put differently,</w:t>
      </w:r>
      <w:r w:rsidRPr="00092EA5">
        <w:t xml:space="preserve"> </w:t>
      </w:r>
      <w:r>
        <w:t xml:space="preserve">the reaction  of analysts </w:t>
      </w:r>
      <w:r w:rsidR="004B1E97">
        <w:t>who</w:t>
      </w:r>
      <w:r>
        <w:t xml:space="preserve"> revis</w:t>
      </w:r>
      <w:r w:rsidR="004B1E97">
        <w:t>e</w:t>
      </w:r>
      <w:r>
        <w:t xml:space="preserve"> their forecast</w:t>
      </w:r>
      <w:r w:rsidR="004B1E97">
        <w:t>s</w:t>
      </w:r>
      <w:r>
        <w:t xml:space="preserve"> provides evidence mostly about the interpretation role of the analyst</w:t>
      </w:r>
      <w:r w:rsidRPr="00092EA5">
        <w:t>.</w:t>
      </w:r>
      <w:r>
        <w:t xml:space="preserve"> </w:t>
      </w:r>
    </w:p>
    <w:p w:rsidR="004D1EAE" w:rsidRDefault="004D1EAE" w:rsidP="00D21DA5">
      <w:pPr>
        <w:spacing w:line="480" w:lineRule="auto"/>
        <w:ind w:firstLine="567"/>
        <w:jc w:val="both"/>
      </w:pPr>
      <w:r>
        <w:rPr>
          <w:rFonts w:asciiTheme="majorBidi" w:hAnsiTheme="majorBidi" w:cstheme="majorBidi"/>
          <w:color w:val="000000"/>
          <w:lang w:bidi="he-IL"/>
        </w:rPr>
        <w:t xml:space="preserve">Livnat and Zhang (2012) provide evidence that 9% (48%) of the forecast revisions are preceded by non-earnings (earnings) related information reported in </w:t>
      </w:r>
      <w:r>
        <w:rPr>
          <w:rFonts w:asciiTheme="majorBidi" w:hAnsiTheme="majorBidi" w:cstheme="majorBidi"/>
          <w:color w:val="000000"/>
          <w:lang w:bidi="he-IL"/>
        </w:rPr>
        <w:br/>
        <w:t>8-K</w:t>
      </w:r>
      <w:r w:rsidR="00613271">
        <w:rPr>
          <w:rFonts w:asciiTheme="majorBidi" w:hAnsiTheme="majorBidi" w:cstheme="majorBidi"/>
          <w:color w:val="000000"/>
          <w:lang w:bidi="he-IL"/>
        </w:rPr>
        <w:t xml:space="preserve"> releases</w:t>
      </w:r>
      <w:r>
        <w:rPr>
          <w:rFonts w:asciiTheme="majorBidi" w:hAnsiTheme="majorBidi" w:cstheme="majorBidi"/>
          <w:color w:val="000000"/>
          <w:lang w:bidi="he-IL"/>
        </w:rPr>
        <w:t>,</w:t>
      </w:r>
      <w:r>
        <w:rPr>
          <w:rStyle w:val="FootnoteReference"/>
          <w:rFonts w:asciiTheme="majorBidi" w:hAnsiTheme="majorBidi" w:cstheme="majorBidi"/>
          <w:color w:val="000000"/>
          <w:lang w:bidi="he-IL"/>
        </w:rPr>
        <w:footnoteReference w:id="2"/>
      </w:r>
      <w:r>
        <w:rPr>
          <w:rFonts w:asciiTheme="majorBidi" w:hAnsiTheme="majorBidi" w:cstheme="majorBidi"/>
          <w:color w:val="000000"/>
          <w:lang w:bidi="he-IL"/>
        </w:rPr>
        <w:t xml:space="preserve"> indicating that non-earnings related information triggers lower reaction by analysts. The lower reaction to non-earnings related information may be attributed to the possibility that some of the items reported in 8-K forms</w:t>
      </w:r>
      <w:r>
        <w:rPr>
          <w:sz w:val="20"/>
          <w:szCs w:val="20"/>
        </w:rPr>
        <w:t xml:space="preserve"> </w:t>
      </w:r>
      <w:r>
        <w:rPr>
          <w:rFonts w:asciiTheme="majorBidi" w:hAnsiTheme="majorBidi" w:cstheme="majorBidi"/>
          <w:color w:val="000000"/>
          <w:lang w:bidi="he-IL"/>
        </w:rPr>
        <w:t xml:space="preserve">do not affect future </w:t>
      </w:r>
      <w:r>
        <w:rPr>
          <w:rFonts w:asciiTheme="majorBidi" w:hAnsiTheme="majorBidi" w:cstheme="majorBidi"/>
          <w:color w:val="000000"/>
          <w:lang w:bidi="he-IL"/>
        </w:rPr>
        <w:lastRenderedPageBreak/>
        <w:t xml:space="preserve">earnings. However, </w:t>
      </w:r>
      <w:r w:rsidR="00D21DA5">
        <w:rPr>
          <w:rFonts w:asciiTheme="majorBidi" w:hAnsiTheme="majorBidi" w:cstheme="majorBidi"/>
          <w:color w:val="000000"/>
          <w:lang w:bidi="he-IL"/>
        </w:rPr>
        <w:t xml:space="preserve">our main conjecture is that </w:t>
      </w:r>
      <w:r>
        <w:rPr>
          <w:bCs/>
        </w:rPr>
        <w:t>the low reaction may also be attributed</w:t>
      </w:r>
      <w:r w:rsidR="00D76C68">
        <w:rPr>
          <w:bCs/>
        </w:rPr>
        <w:t xml:space="preserve"> to</w:t>
      </w:r>
      <w:r>
        <w:rPr>
          <w:bCs/>
        </w:rPr>
        <w:t xml:space="preserve"> differences in the ability of analysts to interpret the effect of the non-earnings news on future earnings. </w:t>
      </w:r>
      <w:r>
        <w:rPr>
          <w:rFonts w:asciiTheme="majorBidi" w:hAnsiTheme="majorBidi" w:cstheme="majorBidi"/>
          <w:color w:val="000000"/>
          <w:lang w:bidi="he-IL"/>
        </w:rPr>
        <w:t>Research on the relation between analysts</w:t>
      </w:r>
      <w:r w:rsidR="00D76C68">
        <w:rPr>
          <w:rFonts w:asciiTheme="majorBidi" w:hAnsiTheme="majorBidi" w:cstheme="majorBidi"/>
          <w:color w:val="000000"/>
          <w:lang w:bidi="he-IL"/>
        </w:rPr>
        <w:t>’</w:t>
      </w:r>
      <w:r>
        <w:rPr>
          <w:rFonts w:asciiTheme="majorBidi" w:hAnsiTheme="majorBidi" w:cstheme="majorBidi"/>
          <w:color w:val="000000"/>
          <w:lang w:bidi="he-IL"/>
        </w:rPr>
        <w:t xml:space="preserve"> characteristics and forecast attributes indicate that analysts differ in their ability and consequently in the</w:t>
      </w:r>
      <w:r w:rsidR="00613271">
        <w:rPr>
          <w:rFonts w:asciiTheme="majorBidi" w:hAnsiTheme="majorBidi" w:cstheme="majorBidi"/>
          <w:color w:val="000000"/>
          <w:lang w:bidi="he-IL"/>
        </w:rPr>
        <w:t xml:space="preserve"> </w:t>
      </w:r>
      <w:r>
        <w:rPr>
          <w:rFonts w:asciiTheme="majorBidi" w:hAnsiTheme="majorBidi" w:cstheme="majorBidi"/>
          <w:color w:val="000000"/>
          <w:lang w:bidi="he-IL"/>
        </w:rPr>
        <w:t xml:space="preserve">quality of their forecasts. </w:t>
      </w:r>
      <w:r>
        <w:rPr>
          <w:bCs/>
          <w:lang w:val="en-CA"/>
        </w:rPr>
        <w:t>Differences in analyst ability can arise from several factors, such as education</w:t>
      </w:r>
      <w:r w:rsidRPr="00ED7436">
        <w:rPr>
          <w:rFonts w:asciiTheme="majorBidi" w:hAnsiTheme="majorBidi" w:cstheme="majorBidi"/>
          <w:color w:val="000000"/>
          <w:lang w:bidi="he-IL"/>
        </w:rPr>
        <w:t xml:space="preserve"> </w:t>
      </w:r>
      <w:r>
        <w:rPr>
          <w:rFonts w:asciiTheme="majorBidi" w:hAnsiTheme="majorBidi" w:cstheme="majorBidi"/>
          <w:color w:val="000000"/>
          <w:lang w:bidi="he-IL"/>
        </w:rPr>
        <w:t>(</w:t>
      </w:r>
      <w:r w:rsidRPr="00650CD7">
        <w:rPr>
          <w:rFonts w:asciiTheme="majorBidi" w:hAnsiTheme="majorBidi" w:cstheme="majorBidi"/>
          <w:color w:val="000000"/>
          <w:lang w:bidi="he-IL"/>
        </w:rPr>
        <w:t>De</w:t>
      </w:r>
      <w:r w:rsidR="00B5024C">
        <w:rPr>
          <w:rFonts w:asciiTheme="majorBidi" w:hAnsiTheme="majorBidi" w:cstheme="majorBidi"/>
          <w:color w:val="000000"/>
          <w:lang w:bidi="he-IL"/>
        </w:rPr>
        <w:t xml:space="preserve"> </w:t>
      </w:r>
      <w:r w:rsidRPr="00650CD7">
        <w:rPr>
          <w:rFonts w:asciiTheme="majorBidi" w:hAnsiTheme="majorBidi" w:cstheme="majorBidi"/>
          <w:color w:val="000000"/>
          <w:lang w:bidi="he-IL"/>
        </w:rPr>
        <w:t>Franco and Zhou</w:t>
      </w:r>
      <w:r>
        <w:rPr>
          <w:rFonts w:asciiTheme="majorBidi" w:hAnsiTheme="majorBidi" w:cstheme="majorBidi"/>
          <w:color w:val="000000"/>
          <w:lang w:bidi="he-IL"/>
        </w:rPr>
        <w:t>,</w:t>
      </w:r>
      <w:r w:rsidRPr="00650CD7">
        <w:rPr>
          <w:rFonts w:asciiTheme="majorBidi" w:hAnsiTheme="majorBidi" w:cstheme="majorBidi"/>
          <w:color w:val="000000"/>
          <w:lang w:bidi="he-IL"/>
        </w:rPr>
        <w:t xml:space="preserve"> 2009)</w:t>
      </w:r>
      <w:r>
        <w:rPr>
          <w:bCs/>
          <w:lang w:val="en-CA"/>
        </w:rPr>
        <w:t xml:space="preserve"> and experience (</w:t>
      </w:r>
      <w:r w:rsidRPr="008B6492">
        <w:rPr>
          <w:rFonts w:asciiTheme="majorBidi" w:hAnsiTheme="majorBidi" w:cstheme="majorBidi"/>
          <w:color w:val="000000"/>
          <w:lang w:bidi="he-IL"/>
        </w:rPr>
        <w:t>Mikhail et al.</w:t>
      </w:r>
      <w:r>
        <w:rPr>
          <w:rFonts w:asciiTheme="majorBidi" w:hAnsiTheme="majorBidi" w:cstheme="majorBidi"/>
          <w:color w:val="000000"/>
          <w:lang w:bidi="he-IL"/>
        </w:rPr>
        <w:t>,</w:t>
      </w:r>
      <w:r w:rsidRPr="008B6492">
        <w:rPr>
          <w:rFonts w:asciiTheme="majorBidi" w:hAnsiTheme="majorBidi" w:cstheme="majorBidi"/>
          <w:color w:val="000000"/>
          <w:lang w:bidi="he-IL"/>
        </w:rPr>
        <w:t xml:space="preserve"> 1997</w:t>
      </w:r>
      <w:r>
        <w:rPr>
          <w:rFonts w:asciiTheme="majorBidi" w:hAnsiTheme="majorBidi" w:cstheme="majorBidi"/>
          <w:color w:val="000000"/>
          <w:lang w:bidi="he-IL"/>
        </w:rPr>
        <w:t xml:space="preserve">; </w:t>
      </w:r>
      <w:r w:rsidRPr="008B6492">
        <w:rPr>
          <w:rFonts w:asciiTheme="majorBidi" w:hAnsiTheme="majorBidi" w:cstheme="majorBidi"/>
          <w:color w:val="000000"/>
          <w:lang w:bidi="he-IL"/>
        </w:rPr>
        <w:t>Hong et al. 2000)</w:t>
      </w:r>
      <w:r>
        <w:rPr>
          <w:bCs/>
          <w:lang w:val="en-CA"/>
        </w:rPr>
        <w:t xml:space="preserve">. Hence, given that in this study we focus on non-earnings information that is </w:t>
      </w:r>
      <w:r w:rsidRPr="00092EA5">
        <w:t>idiosyncratic</w:t>
      </w:r>
      <w:r>
        <w:t xml:space="preserve"> in nature and harder to interpret, we predict that only skilled analysts are able to interpret such information and react to the 8-K filing.</w:t>
      </w:r>
    </w:p>
    <w:p w:rsidR="004D1EAE" w:rsidRDefault="004D1EAE" w:rsidP="004D1EAE">
      <w:pPr>
        <w:spacing w:line="480" w:lineRule="auto"/>
        <w:ind w:firstLine="567"/>
        <w:jc w:val="both"/>
        <w:rPr>
          <w:rFonts w:asciiTheme="majorBidi" w:hAnsiTheme="majorBidi" w:cstheme="majorBidi"/>
          <w:color w:val="000000"/>
          <w:lang w:bidi="he-IL"/>
        </w:rPr>
      </w:pPr>
      <w:r>
        <w:t xml:space="preserve">We test this </w:t>
      </w:r>
      <w:r w:rsidR="001573CC">
        <w:t>prediction</w:t>
      </w:r>
      <w:r>
        <w:t xml:space="preserve"> by examining whether the revised forecast results in lower forecast error compared to forecasts of analysts who did not react. Furthermore, we examine whether reaction to non-earnings related information is positively associated with future analysts' performance. In other words, we use past reaction to non-earnings related information as proxy for skill</w:t>
      </w:r>
      <w:r w:rsidR="00D76C68">
        <w:t>,</w:t>
      </w:r>
      <w:r>
        <w:t xml:space="preserve"> and</w:t>
      </w:r>
      <w:r w:rsidR="00D76C68">
        <w:t xml:space="preserve"> we</w:t>
      </w:r>
      <w:r>
        <w:t xml:space="preserve"> examine whether it is associated with future analysts' performance. </w:t>
      </w:r>
      <w:r>
        <w:rPr>
          <w:bCs/>
          <w:lang w:bidi="he-IL"/>
        </w:rPr>
        <w:t>Following DeFr</w:t>
      </w:r>
      <w:r w:rsidR="00D76C68">
        <w:rPr>
          <w:bCs/>
          <w:lang w:bidi="he-IL"/>
        </w:rPr>
        <w:t>an</w:t>
      </w:r>
      <w:r>
        <w:rPr>
          <w:bCs/>
          <w:lang w:bidi="he-IL"/>
        </w:rPr>
        <w:t>co and Zhou (2009), our two main measures of analysts' performance are accuracy and timeliness, which reflect the ability of the analyst to use and generate information. We also use boldness as a measure of analysts' independence, and degree of optimism which captures the bias in the analyst' forecast.</w:t>
      </w:r>
    </w:p>
    <w:p w:rsidR="004D1EAE" w:rsidRDefault="004D1EAE" w:rsidP="004D1EAE">
      <w:pPr>
        <w:widowControl w:val="0"/>
        <w:autoSpaceDE w:val="0"/>
        <w:autoSpaceDN w:val="0"/>
        <w:adjustRightInd w:val="0"/>
        <w:spacing w:after="240" w:line="480" w:lineRule="auto"/>
        <w:ind w:firstLine="567"/>
        <w:contextualSpacing/>
        <w:jc w:val="both"/>
        <w:rPr>
          <w:rFonts w:eastAsia="Times New Roman"/>
          <w:bCs/>
        </w:rPr>
      </w:pPr>
      <w:r>
        <w:rPr>
          <w:rFonts w:asciiTheme="majorBidi" w:hAnsiTheme="majorBidi" w:cstheme="majorBidi"/>
          <w:lang w:bidi="he-IL"/>
        </w:rPr>
        <w:t xml:space="preserve">Consistent with the evidence in Livnat and Zhang (2012) we find that the reaction to non-earnings related information is far smaller than the reaction to earnings related information. Specifically, </w:t>
      </w:r>
      <w:r>
        <w:rPr>
          <w:rFonts w:eastAsia="Times New Roman"/>
          <w:bCs/>
        </w:rPr>
        <w:t>following an 8-K form reporting earnings, 70% of the analysts on average revise their forecast, and the likelihood of at least one forecast revision is close to 94% on average. In contradistinction, only 15% of the analysts on average</w:t>
      </w:r>
      <w:r w:rsidR="00646AEE">
        <w:rPr>
          <w:rFonts w:eastAsia="Times New Roman"/>
          <w:bCs/>
        </w:rPr>
        <w:t xml:space="preserve"> react</w:t>
      </w:r>
      <w:r>
        <w:rPr>
          <w:rFonts w:eastAsia="Times New Roman"/>
          <w:bCs/>
        </w:rPr>
        <w:t xml:space="preserve"> to non-earnings related information</w:t>
      </w:r>
      <w:r w:rsidR="00646AEE">
        <w:rPr>
          <w:rFonts w:eastAsia="Times New Roman"/>
          <w:bCs/>
        </w:rPr>
        <w:t>,</w:t>
      </w:r>
      <w:r>
        <w:rPr>
          <w:rFonts w:eastAsia="Times New Roman"/>
          <w:bCs/>
        </w:rPr>
        <w:t xml:space="preserve"> and the likelihood of at </w:t>
      </w:r>
      <w:r>
        <w:rPr>
          <w:rFonts w:eastAsia="Times New Roman"/>
          <w:bCs/>
        </w:rPr>
        <w:lastRenderedPageBreak/>
        <w:t xml:space="preserve">least one forecast revision is close to 38%.  </w:t>
      </w:r>
      <w:r w:rsidR="00646AEE">
        <w:rPr>
          <w:rFonts w:eastAsia="Times New Roman"/>
          <w:bCs/>
        </w:rPr>
        <w:t xml:space="preserve">Additionally, </w:t>
      </w:r>
      <w:r>
        <w:rPr>
          <w:rFonts w:eastAsia="Times New Roman"/>
          <w:bCs/>
        </w:rPr>
        <w:t>we find that the reaction to non-earnings related information increas</w:t>
      </w:r>
      <w:r w:rsidR="00646AEE">
        <w:rPr>
          <w:rFonts w:eastAsia="Times New Roman"/>
          <w:bCs/>
        </w:rPr>
        <w:t>es</w:t>
      </w:r>
      <w:r>
        <w:rPr>
          <w:rFonts w:eastAsia="Times New Roman"/>
          <w:bCs/>
        </w:rPr>
        <w:t xml:space="preserve"> with size and profitability, and  there is significant variation in the reaction </w:t>
      </w:r>
      <w:r w:rsidR="00646AEE">
        <w:rPr>
          <w:rFonts w:eastAsia="Times New Roman"/>
          <w:bCs/>
        </w:rPr>
        <w:t>to</w:t>
      </w:r>
      <w:r>
        <w:rPr>
          <w:rFonts w:eastAsia="Times New Roman"/>
          <w:bCs/>
        </w:rPr>
        <w:t xml:space="preserve"> the various items reported in the 8-K form. Nevertheless, the highest reaction is to </w:t>
      </w:r>
      <w:r w:rsidRPr="00F10E1F">
        <w:rPr>
          <w:rFonts w:eastAsia="Times New Roman"/>
          <w:bCs/>
        </w:rPr>
        <w:t xml:space="preserve">Non-Reliance on Previously Issued Financial Statements or a Related Audit Report or Completed Interim Review </w:t>
      </w:r>
      <w:r>
        <w:rPr>
          <w:rFonts w:eastAsia="Times New Roman"/>
          <w:bCs/>
        </w:rPr>
        <w:t>(Item 4.02)</w:t>
      </w:r>
      <w:r w:rsidR="00646AEE">
        <w:rPr>
          <w:rFonts w:eastAsia="Times New Roman"/>
          <w:bCs/>
        </w:rPr>
        <w:t>, which</w:t>
      </w:r>
      <w:r>
        <w:rPr>
          <w:rFonts w:eastAsia="Times New Roman"/>
          <w:bCs/>
        </w:rPr>
        <w:t xml:space="preserve"> is still low </w:t>
      </w:r>
      <w:r w:rsidR="00646AEE">
        <w:rPr>
          <w:rFonts w:eastAsia="Times New Roman"/>
          <w:bCs/>
        </w:rPr>
        <w:t xml:space="preserve">at </w:t>
      </w:r>
      <w:r>
        <w:rPr>
          <w:rFonts w:eastAsia="Times New Roman"/>
          <w:bCs/>
        </w:rPr>
        <w:t>around 24%.</w:t>
      </w:r>
    </w:p>
    <w:p w:rsidR="004D1EAE" w:rsidRDefault="004D1EAE" w:rsidP="004D1EAE">
      <w:pPr>
        <w:spacing w:line="480" w:lineRule="auto"/>
        <w:ind w:firstLine="567"/>
        <w:jc w:val="both"/>
      </w:pPr>
      <w:r>
        <w:rPr>
          <w:rFonts w:eastAsia="Times New Roman"/>
          <w:bCs/>
        </w:rPr>
        <w:t xml:space="preserve">We next document that reaction to 8-K results in lower forecast error. Specifically, we find that </w:t>
      </w:r>
      <w:r>
        <w:rPr>
          <w:bCs/>
          <w:lang w:val="en-CA"/>
        </w:rPr>
        <w:t xml:space="preserve">forecasts issued following a non-earnings 8-K report have on average a lower forecast error in comparison to all other concurrent forecasts, indicating that analysts who are able to interpret the non-earnings information in the 8-K and infer its impact on future profitability are able to provide more accurate earnings forecast. To examine whether a specific item drives the results, we repeat the analysis for each Item reported on </w:t>
      </w:r>
      <w:r w:rsidR="00646AEE">
        <w:rPr>
          <w:bCs/>
          <w:lang w:val="en-CA"/>
        </w:rPr>
        <w:t xml:space="preserve">the </w:t>
      </w:r>
      <w:r>
        <w:rPr>
          <w:bCs/>
          <w:lang w:val="en-CA"/>
        </w:rPr>
        <w:t xml:space="preserve">8-K form separately. The results are broadly consistent with the pooled regression - we find that reaction to 10 of the 19 items in our sample lead to lower forecast error. Further, reaction to the most frequent </w:t>
      </w:r>
      <w:r w:rsidR="001573CC">
        <w:rPr>
          <w:bCs/>
          <w:lang w:val="en-CA"/>
        </w:rPr>
        <w:t>i</w:t>
      </w:r>
      <w:r>
        <w:rPr>
          <w:bCs/>
          <w:lang w:val="en-CA"/>
        </w:rPr>
        <w:t xml:space="preserve">tems leads to lower forecast error. These results are consistent with our prediction that </w:t>
      </w:r>
      <w:r>
        <w:t>only skilled analysts who are able to interpret such information react to the 8-K filing. The results also suggest that although the reported items are not directly related to earnings they do have an impact on future profitability.</w:t>
      </w:r>
    </w:p>
    <w:p w:rsidR="004D1EAE" w:rsidRDefault="004D1EAE" w:rsidP="00A941E7">
      <w:pPr>
        <w:spacing w:line="480" w:lineRule="auto"/>
        <w:ind w:firstLine="567"/>
        <w:jc w:val="both"/>
        <w:rPr>
          <w:bCs/>
          <w:lang w:val="en-CA"/>
        </w:rPr>
      </w:pPr>
      <w:r>
        <w:rPr>
          <w:bCs/>
          <w:lang w:val="en-CA"/>
        </w:rPr>
        <w:t>To further examine whether reaction to non-earnings related information is associated with skill, we construct a measure of skill based on the cumulative reaction ratio (CRR) of the analyst to non-earnings related information reported in 8-K form</w:t>
      </w:r>
      <w:r w:rsidR="00613271">
        <w:rPr>
          <w:bCs/>
          <w:lang w:val="en-CA"/>
        </w:rPr>
        <w:t>s</w:t>
      </w:r>
      <w:r>
        <w:rPr>
          <w:bCs/>
          <w:lang w:val="en-CA"/>
        </w:rPr>
        <w:t xml:space="preserve"> by the firm. For each analyst-firm-year we compute the total number of non-earnings related 8-K </w:t>
      </w:r>
      <w:r w:rsidR="00987CA1">
        <w:rPr>
          <w:bCs/>
          <w:lang w:val="en-CA"/>
        </w:rPr>
        <w:t xml:space="preserve">filings </w:t>
      </w:r>
      <w:r>
        <w:rPr>
          <w:bCs/>
          <w:lang w:val="en-CA"/>
        </w:rPr>
        <w:t xml:space="preserve">to which the analyst reacted from the beginning of the sample period through the beginning of the year divided by the total number of non-earnings </w:t>
      </w:r>
      <w:r>
        <w:rPr>
          <w:bCs/>
          <w:lang w:val="en-CA"/>
        </w:rPr>
        <w:lastRenderedPageBreak/>
        <w:t>related 8-K reports filed by the company in the same period.</w:t>
      </w:r>
      <w:r>
        <w:rPr>
          <w:rStyle w:val="FootnoteReference"/>
          <w:bCs/>
          <w:lang w:val="en-CA"/>
        </w:rPr>
        <w:footnoteReference w:id="3"/>
      </w:r>
      <w:r>
        <w:rPr>
          <w:bCs/>
          <w:lang w:val="en-CA"/>
        </w:rPr>
        <w:t xml:space="preserve"> We document </w:t>
      </w:r>
      <w:r>
        <w:rPr>
          <w:bCs/>
          <w:lang w:bidi="he-IL"/>
        </w:rPr>
        <w:t xml:space="preserve">a </w:t>
      </w:r>
      <w:r w:rsidR="00A941E7">
        <w:rPr>
          <w:bCs/>
          <w:lang w:bidi="he-IL"/>
        </w:rPr>
        <w:t xml:space="preserve">significant </w:t>
      </w:r>
      <w:r>
        <w:rPr>
          <w:bCs/>
          <w:lang w:bidi="he-IL"/>
        </w:rPr>
        <w:t xml:space="preserve">relation between our measure of skill and analysts' characteristics. Analysts who react to non-earnings related information have greater firm experience, cover more companies, are employed by greater brokerage, cover </w:t>
      </w:r>
      <w:r w:rsidR="00987CA1">
        <w:rPr>
          <w:bCs/>
          <w:lang w:bidi="he-IL"/>
        </w:rPr>
        <w:t xml:space="preserve">fewer </w:t>
      </w:r>
      <w:r>
        <w:rPr>
          <w:bCs/>
          <w:lang w:bidi="he-IL"/>
        </w:rPr>
        <w:t>industries</w:t>
      </w:r>
      <w:r w:rsidR="00987CA1">
        <w:rPr>
          <w:bCs/>
          <w:lang w:bidi="he-IL"/>
        </w:rPr>
        <w:t>,</w:t>
      </w:r>
      <w:r>
        <w:rPr>
          <w:bCs/>
          <w:lang w:bidi="he-IL"/>
        </w:rPr>
        <w:t xml:space="preserve"> and issue more forecasts. We also find significant variation in the CRR of the analysts at the firm-year level, and  significant variation in CRR of the same analyst</w:t>
      </w:r>
      <w:r w:rsidR="00987CA1">
        <w:rPr>
          <w:bCs/>
          <w:lang w:bidi="he-IL"/>
        </w:rPr>
        <w:t>s</w:t>
      </w:r>
      <w:r>
        <w:rPr>
          <w:bCs/>
          <w:lang w:bidi="he-IL"/>
        </w:rPr>
        <w:t xml:space="preserve"> across the firms </w:t>
      </w:r>
      <w:r w:rsidR="00987CA1">
        <w:rPr>
          <w:bCs/>
          <w:lang w:bidi="he-IL"/>
        </w:rPr>
        <w:t>they</w:t>
      </w:r>
      <w:r>
        <w:rPr>
          <w:bCs/>
          <w:lang w:bidi="he-IL"/>
        </w:rPr>
        <w:t xml:space="preserve"> cover. The former result indicate</w:t>
      </w:r>
      <w:r w:rsidR="00987CA1">
        <w:rPr>
          <w:bCs/>
          <w:lang w:bidi="he-IL"/>
        </w:rPr>
        <w:t>s</w:t>
      </w:r>
      <w:r>
        <w:rPr>
          <w:bCs/>
          <w:lang w:bidi="he-IL"/>
        </w:rPr>
        <w:t xml:space="preserve"> that CRR is not a firm characteristic (that is, CRR is not determined by the firm's operation and disclosure), and the latter result suggests that CRR is not an overall analyst characteristic</w:t>
      </w:r>
      <w:r w:rsidR="00987CA1">
        <w:rPr>
          <w:bCs/>
          <w:lang w:bidi="he-IL"/>
        </w:rPr>
        <w:t xml:space="preserve">, </w:t>
      </w:r>
      <w:r>
        <w:rPr>
          <w:bCs/>
          <w:lang w:bidi="he-IL"/>
        </w:rPr>
        <w:t>rather</w:t>
      </w:r>
      <w:r w:rsidR="00987CA1">
        <w:rPr>
          <w:bCs/>
          <w:lang w:bidi="he-IL"/>
        </w:rPr>
        <w:t xml:space="preserve"> it</w:t>
      </w:r>
      <w:r>
        <w:rPr>
          <w:bCs/>
          <w:lang w:bidi="he-IL"/>
        </w:rPr>
        <w:t xml:space="preserve"> depends on the firm covered. This can be explained by differences in analyst ability across companies for reasons </w:t>
      </w:r>
      <w:r>
        <w:rPr>
          <w:bCs/>
          <w:lang w:val="en-CA"/>
        </w:rPr>
        <w:t xml:space="preserve"> such as experience covering the company and differences in operation complexity and disclosure. </w:t>
      </w:r>
    </w:p>
    <w:p w:rsidR="004D1EAE" w:rsidRDefault="004D1EAE" w:rsidP="004D1EAE">
      <w:pPr>
        <w:spacing w:line="480" w:lineRule="auto"/>
        <w:ind w:firstLine="567"/>
        <w:jc w:val="both"/>
        <w:rPr>
          <w:bCs/>
          <w:lang w:bidi="he-IL"/>
        </w:rPr>
      </w:pPr>
      <w:r>
        <w:rPr>
          <w:bCs/>
          <w:lang w:val="en-CA"/>
        </w:rPr>
        <w:t xml:space="preserve">We then examine whether our skill measure can predict future performance. We find that CRR at the beginning of the year is positively associated with forecast accuracy. In addition, CRR is positively associated with timeliness, indicating that </w:t>
      </w:r>
      <w:r>
        <w:rPr>
          <w:bCs/>
          <w:lang w:bidi="he-IL"/>
        </w:rPr>
        <w:t>high CRR is associated with analysts who provide timelier processing of public information. Further</w:t>
      </w:r>
      <w:r w:rsidR="00F871B7">
        <w:rPr>
          <w:bCs/>
          <w:lang w:bidi="he-IL"/>
        </w:rPr>
        <w:t>more</w:t>
      </w:r>
      <w:r>
        <w:rPr>
          <w:bCs/>
          <w:lang w:bidi="he-IL"/>
        </w:rPr>
        <w:t xml:space="preserve">, it also suggests that analysts with low CRR are more likely to follow and use the information in high CRR analysts' forecasts. </w:t>
      </w:r>
    </w:p>
    <w:p w:rsidR="004D1EAE" w:rsidRDefault="004D1EAE" w:rsidP="004D1EAE">
      <w:pPr>
        <w:spacing w:line="480" w:lineRule="auto"/>
        <w:ind w:firstLine="567"/>
        <w:jc w:val="both"/>
        <w:rPr>
          <w:bCs/>
          <w:lang w:bidi="he-IL"/>
        </w:rPr>
      </w:pPr>
      <w:r>
        <w:rPr>
          <w:bCs/>
          <w:lang w:bidi="he-IL"/>
        </w:rPr>
        <w:t>Overall, our results suggest that reaction to non-earnings information is indicative of skill; analysts who revise their forecast following non-earnings information have lower forecast error. Moreover, analysts who routinely react to non-earnings information consistently outperform non-reacting analysts in terms of forecast error, and provide timelier forecasts.</w:t>
      </w:r>
    </w:p>
    <w:p w:rsidR="004D1EAE" w:rsidRPr="00D520A7" w:rsidRDefault="004D1EAE" w:rsidP="004D1EAE">
      <w:pPr>
        <w:autoSpaceDE w:val="0"/>
        <w:autoSpaceDN w:val="0"/>
        <w:adjustRightInd w:val="0"/>
        <w:spacing w:line="480" w:lineRule="auto"/>
        <w:ind w:firstLine="720"/>
        <w:jc w:val="both"/>
        <w:rPr>
          <w:rFonts w:asciiTheme="majorBidi" w:hAnsiTheme="majorBidi" w:cstheme="majorBidi"/>
          <w:lang w:bidi="he-IL"/>
        </w:rPr>
      </w:pPr>
      <w:r w:rsidRPr="008B6492">
        <w:rPr>
          <w:rFonts w:asciiTheme="majorBidi" w:hAnsiTheme="majorBidi" w:cstheme="majorBidi"/>
          <w:lang w:bidi="he-IL"/>
        </w:rPr>
        <w:lastRenderedPageBreak/>
        <w:t>Th</w:t>
      </w:r>
      <w:r w:rsidR="00F871B7">
        <w:rPr>
          <w:rFonts w:asciiTheme="majorBidi" w:hAnsiTheme="majorBidi" w:cstheme="majorBidi"/>
          <w:lang w:bidi="he-IL"/>
        </w:rPr>
        <w:t>is</w:t>
      </w:r>
      <w:r w:rsidRPr="008B6492">
        <w:rPr>
          <w:rFonts w:asciiTheme="majorBidi" w:hAnsiTheme="majorBidi" w:cstheme="majorBidi"/>
          <w:lang w:bidi="he-IL"/>
        </w:rPr>
        <w:t xml:space="preserve"> paper </w:t>
      </w:r>
      <w:r>
        <w:rPr>
          <w:rFonts w:asciiTheme="majorBidi" w:hAnsiTheme="majorBidi" w:cstheme="majorBidi"/>
          <w:lang w:bidi="he-IL"/>
        </w:rPr>
        <w:t xml:space="preserve">contributes </w:t>
      </w:r>
      <w:r w:rsidRPr="008B6492">
        <w:rPr>
          <w:rFonts w:asciiTheme="majorBidi" w:hAnsiTheme="majorBidi" w:cstheme="majorBidi"/>
          <w:lang w:bidi="he-IL"/>
        </w:rPr>
        <w:t>to our understanding of disclosure and analysts’ process</w:t>
      </w:r>
      <w:r>
        <w:rPr>
          <w:rFonts w:asciiTheme="majorBidi" w:hAnsiTheme="majorBidi" w:cstheme="majorBidi"/>
          <w:lang w:bidi="he-IL"/>
        </w:rPr>
        <w:t>ing</w:t>
      </w:r>
      <w:r w:rsidRPr="008B6492">
        <w:rPr>
          <w:rFonts w:asciiTheme="majorBidi" w:hAnsiTheme="majorBidi" w:cstheme="majorBidi"/>
          <w:lang w:bidi="he-IL"/>
        </w:rPr>
        <w:t xml:space="preserve"> of information. First, </w:t>
      </w:r>
      <w:r>
        <w:rPr>
          <w:rFonts w:asciiTheme="majorBidi" w:hAnsiTheme="majorBidi" w:cstheme="majorBidi"/>
          <w:lang w:bidi="he-IL"/>
        </w:rPr>
        <w:t xml:space="preserve">we provide large-scale evidence on the reaction </w:t>
      </w:r>
      <w:r w:rsidR="00F871B7">
        <w:rPr>
          <w:rFonts w:asciiTheme="majorBidi" w:hAnsiTheme="majorBidi" w:cstheme="majorBidi"/>
          <w:lang w:bidi="he-IL"/>
        </w:rPr>
        <w:t>(</w:t>
      </w:r>
      <w:r>
        <w:rPr>
          <w:rFonts w:asciiTheme="majorBidi" w:hAnsiTheme="majorBidi" w:cstheme="majorBidi"/>
          <w:lang w:bidi="he-IL"/>
        </w:rPr>
        <w:t>or lack thereof</w:t>
      </w:r>
      <w:r w:rsidR="00F871B7">
        <w:rPr>
          <w:rFonts w:asciiTheme="majorBidi" w:hAnsiTheme="majorBidi" w:cstheme="majorBidi"/>
          <w:lang w:bidi="he-IL"/>
        </w:rPr>
        <w:t>)</w:t>
      </w:r>
      <w:r>
        <w:rPr>
          <w:rFonts w:asciiTheme="majorBidi" w:hAnsiTheme="majorBidi" w:cstheme="majorBidi"/>
          <w:lang w:bidi="he-IL"/>
        </w:rPr>
        <w:t xml:space="preserve"> of analysts to non-earnings related information. While existing studies show that analysts do not fully incorporate information which is not directly related to earnings, </w:t>
      </w:r>
      <w:r w:rsidR="00BF3E4B">
        <w:rPr>
          <w:rFonts w:asciiTheme="majorBidi" w:hAnsiTheme="majorBidi" w:cstheme="majorBidi"/>
          <w:lang w:bidi="he-IL"/>
        </w:rPr>
        <w:t xml:space="preserve">they typically focus on one aspect of non-earnings news. For example, Bartov </w:t>
      </w:r>
      <w:r w:rsidR="00BF3E4B" w:rsidRPr="008B6492">
        <w:rPr>
          <w:rFonts w:asciiTheme="majorBidi" w:hAnsiTheme="majorBidi" w:cstheme="majorBidi"/>
        </w:rPr>
        <w:t xml:space="preserve">and Bondar </w:t>
      </w:r>
      <w:r w:rsidR="00BF3E4B">
        <w:rPr>
          <w:rFonts w:asciiTheme="majorBidi" w:hAnsiTheme="majorBidi" w:cstheme="majorBidi"/>
        </w:rPr>
        <w:t>(</w:t>
      </w:r>
      <w:r w:rsidR="00BF3E4B" w:rsidRPr="008B6492">
        <w:rPr>
          <w:rFonts w:asciiTheme="majorBidi" w:hAnsiTheme="majorBidi" w:cstheme="majorBidi"/>
        </w:rPr>
        <w:t>1994</w:t>
      </w:r>
      <w:r w:rsidR="00BF3E4B">
        <w:rPr>
          <w:rFonts w:asciiTheme="majorBidi" w:hAnsiTheme="majorBidi" w:cstheme="majorBidi"/>
        </w:rPr>
        <w:t xml:space="preserve">) show that analysts do not incorporate fluctuations in the exchange rate. </w:t>
      </w:r>
      <w:r w:rsidR="00BF3E4B">
        <w:rPr>
          <w:rFonts w:asciiTheme="majorBidi" w:hAnsiTheme="majorBidi" w:cstheme="majorBidi"/>
          <w:lang w:bidi="he-IL"/>
        </w:rPr>
        <w:t>W</w:t>
      </w:r>
      <w:r>
        <w:rPr>
          <w:rFonts w:asciiTheme="majorBidi" w:hAnsiTheme="majorBidi" w:cstheme="majorBidi"/>
          <w:lang w:bidi="he-IL"/>
        </w:rPr>
        <w:t>e provide additional evidence using comprehensive data of 8-K reports</w:t>
      </w:r>
      <w:r w:rsidR="00BF3E4B">
        <w:rPr>
          <w:rFonts w:asciiTheme="majorBidi" w:hAnsiTheme="majorBidi" w:cstheme="majorBidi"/>
          <w:lang w:bidi="he-IL"/>
        </w:rPr>
        <w:t xml:space="preserve"> consisting of diverse non-financial information</w:t>
      </w:r>
      <w:r>
        <w:rPr>
          <w:rFonts w:asciiTheme="majorBidi" w:hAnsiTheme="majorBidi" w:cstheme="majorBidi"/>
          <w:lang w:bidi="he-IL"/>
        </w:rPr>
        <w:t>. Second, we contribute to the literature on analysts</w:t>
      </w:r>
      <w:r w:rsidR="002F5F3B">
        <w:rPr>
          <w:rFonts w:asciiTheme="majorBidi" w:hAnsiTheme="majorBidi" w:cstheme="majorBidi"/>
          <w:lang w:bidi="he-IL"/>
        </w:rPr>
        <w:t>’</w:t>
      </w:r>
      <w:r>
        <w:rPr>
          <w:rFonts w:asciiTheme="majorBidi" w:hAnsiTheme="majorBidi" w:cstheme="majorBidi"/>
          <w:lang w:bidi="he-IL"/>
        </w:rPr>
        <w:t xml:space="preserve"> skills. We show that reaction to non-earnings </w:t>
      </w:r>
      <w:r>
        <w:rPr>
          <w:bCs/>
          <w:lang w:val="en-CA"/>
        </w:rPr>
        <w:t>information, which is harder to interpret,</w:t>
      </w:r>
      <w:r>
        <w:t xml:space="preserve"> is associated with skill. Furthermore, we suggest a new proxy for skill based on the reaction of the analyst to non-earnings information, and show that this proxy is associated with future forecast accuracy and timeliness of the forecast. </w:t>
      </w:r>
      <w:r w:rsidRPr="008B6492">
        <w:rPr>
          <w:rFonts w:asciiTheme="majorBidi" w:hAnsiTheme="majorBidi" w:cstheme="majorBidi"/>
        </w:rPr>
        <w:t>Third, our study has implications for practitioners who incorporate analysts’ forecast revision in identifying buy or sell signals, as our results suggest that analysts who revise their</w:t>
      </w:r>
      <w:r>
        <w:rPr>
          <w:rFonts w:asciiTheme="majorBidi" w:hAnsiTheme="majorBidi" w:cstheme="majorBidi"/>
        </w:rPr>
        <w:t xml:space="preserve"> forecast following non-earnings 8-K</w:t>
      </w:r>
      <w:r w:rsidRPr="008B6492">
        <w:rPr>
          <w:rFonts w:asciiTheme="majorBidi" w:hAnsiTheme="majorBidi" w:cstheme="majorBidi"/>
        </w:rPr>
        <w:t xml:space="preserve"> are the more skillful analysts.</w:t>
      </w:r>
    </w:p>
    <w:p w:rsidR="004D1EAE" w:rsidRPr="008B6492" w:rsidRDefault="004D1EAE" w:rsidP="004D1EAE">
      <w:pPr>
        <w:autoSpaceDE w:val="0"/>
        <w:autoSpaceDN w:val="0"/>
        <w:adjustRightInd w:val="0"/>
        <w:spacing w:line="480" w:lineRule="auto"/>
        <w:ind w:firstLine="720"/>
        <w:jc w:val="both"/>
        <w:rPr>
          <w:rFonts w:asciiTheme="majorBidi" w:hAnsiTheme="majorBidi" w:cstheme="majorBidi"/>
        </w:rPr>
      </w:pPr>
      <w:r w:rsidRPr="00BB1054">
        <w:rPr>
          <w:rFonts w:asciiTheme="majorBidi" w:hAnsiTheme="majorBidi" w:cstheme="majorBidi"/>
        </w:rPr>
        <w:t xml:space="preserve">The rest of the paper proceeds as follows. In Section </w:t>
      </w:r>
      <w:r>
        <w:rPr>
          <w:rFonts w:asciiTheme="majorBidi" w:hAnsiTheme="majorBidi" w:cstheme="majorBidi"/>
        </w:rPr>
        <w:t xml:space="preserve">2 </w:t>
      </w:r>
      <w:r w:rsidRPr="00BB1054">
        <w:rPr>
          <w:rFonts w:asciiTheme="majorBidi" w:hAnsiTheme="majorBidi" w:cstheme="majorBidi"/>
        </w:rPr>
        <w:t xml:space="preserve">we </w:t>
      </w:r>
      <w:r>
        <w:rPr>
          <w:rFonts w:asciiTheme="majorBidi" w:hAnsiTheme="majorBidi" w:cstheme="majorBidi"/>
        </w:rPr>
        <w:t>provide literature review</w:t>
      </w:r>
      <w:r w:rsidRPr="00BB1054">
        <w:rPr>
          <w:rFonts w:asciiTheme="majorBidi" w:hAnsiTheme="majorBidi" w:cstheme="majorBidi"/>
        </w:rPr>
        <w:t xml:space="preserve">. Section </w:t>
      </w:r>
      <w:r>
        <w:rPr>
          <w:rFonts w:asciiTheme="majorBidi" w:hAnsiTheme="majorBidi" w:cstheme="majorBidi"/>
        </w:rPr>
        <w:t>3</w:t>
      </w:r>
      <w:r w:rsidRPr="00BB1054">
        <w:rPr>
          <w:rFonts w:asciiTheme="majorBidi" w:hAnsiTheme="majorBidi" w:cstheme="majorBidi"/>
        </w:rPr>
        <w:t xml:space="preserve"> describes the data and variables</w:t>
      </w:r>
      <w:r>
        <w:rPr>
          <w:rFonts w:asciiTheme="majorBidi" w:hAnsiTheme="majorBidi" w:cstheme="majorBidi"/>
        </w:rPr>
        <w:t>.</w:t>
      </w:r>
      <w:r w:rsidRPr="00BB1054">
        <w:rPr>
          <w:rFonts w:asciiTheme="majorBidi" w:hAnsiTheme="majorBidi" w:cstheme="majorBidi"/>
        </w:rPr>
        <w:t xml:space="preserve"> Section </w:t>
      </w:r>
      <w:r>
        <w:rPr>
          <w:rFonts w:asciiTheme="majorBidi" w:hAnsiTheme="majorBidi" w:cstheme="majorBidi"/>
        </w:rPr>
        <w:t>4</w:t>
      </w:r>
      <w:r w:rsidRPr="00BB1054">
        <w:rPr>
          <w:rFonts w:asciiTheme="majorBidi" w:hAnsiTheme="majorBidi" w:cstheme="majorBidi"/>
        </w:rPr>
        <w:t xml:space="preserve"> </w:t>
      </w:r>
      <w:r>
        <w:rPr>
          <w:rFonts w:asciiTheme="majorBidi" w:hAnsiTheme="majorBidi" w:cstheme="majorBidi"/>
        </w:rPr>
        <w:t xml:space="preserve">provides the empirical results. </w:t>
      </w:r>
      <w:r w:rsidRPr="00BB1054">
        <w:rPr>
          <w:rFonts w:asciiTheme="majorBidi" w:hAnsiTheme="majorBidi" w:cstheme="majorBidi"/>
        </w:rPr>
        <w:t xml:space="preserve">Section </w:t>
      </w:r>
      <w:r>
        <w:rPr>
          <w:rFonts w:asciiTheme="majorBidi" w:hAnsiTheme="majorBidi" w:cstheme="majorBidi"/>
        </w:rPr>
        <w:t xml:space="preserve">5 </w:t>
      </w:r>
      <w:r w:rsidRPr="00BB1054">
        <w:rPr>
          <w:rFonts w:asciiTheme="majorBidi" w:hAnsiTheme="majorBidi" w:cstheme="majorBidi"/>
        </w:rPr>
        <w:t>concludes.</w:t>
      </w:r>
    </w:p>
    <w:p w:rsidR="004D1EAE" w:rsidRDefault="004D1EAE" w:rsidP="004D1EAE">
      <w:pPr>
        <w:spacing w:line="480" w:lineRule="auto"/>
        <w:jc w:val="both"/>
        <w:rPr>
          <w:rFonts w:asciiTheme="majorBidi" w:hAnsiTheme="majorBidi" w:cstheme="majorBidi"/>
          <w:b/>
          <w:bCs/>
          <w:sz w:val="28"/>
          <w:szCs w:val="28"/>
          <w:lang w:val="en-CA"/>
        </w:rPr>
      </w:pPr>
    </w:p>
    <w:p w:rsidR="004D1EAE" w:rsidRPr="009D244E" w:rsidRDefault="004D1EAE" w:rsidP="004D1EAE">
      <w:pPr>
        <w:spacing w:line="480" w:lineRule="auto"/>
        <w:jc w:val="both"/>
        <w:rPr>
          <w:rFonts w:asciiTheme="majorBidi" w:hAnsiTheme="majorBidi" w:cstheme="majorBidi"/>
          <w:b/>
          <w:bCs/>
          <w:sz w:val="28"/>
          <w:szCs w:val="28"/>
          <w:lang w:val="en-CA"/>
        </w:rPr>
      </w:pPr>
      <w:r>
        <w:rPr>
          <w:rFonts w:asciiTheme="majorBidi" w:hAnsiTheme="majorBidi" w:cstheme="majorBidi"/>
          <w:b/>
          <w:bCs/>
          <w:sz w:val="28"/>
          <w:szCs w:val="28"/>
          <w:lang w:val="en-CA"/>
        </w:rPr>
        <w:t xml:space="preserve">2. </w:t>
      </w:r>
      <w:r w:rsidRPr="009D244E">
        <w:rPr>
          <w:rFonts w:asciiTheme="majorBidi" w:hAnsiTheme="majorBidi" w:cstheme="majorBidi"/>
          <w:b/>
          <w:bCs/>
          <w:sz w:val="28"/>
          <w:szCs w:val="28"/>
          <w:lang w:val="en-CA"/>
        </w:rPr>
        <w:t>L</w:t>
      </w:r>
      <w:r>
        <w:rPr>
          <w:rFonts w:asciiTheme="majorBidi" w:hAnsiTheme="majorBidi" w:cstheme="majorBidi"/>
          <w:b/>
          <w:bCs/>
          <w:sz w:val="28"/>
          <w:szCs w:val="28"/>
          <w:lang w:val="en-CA"/>
        </w:rPr>
        <w:t>iterature review</w:t>
      </w:r>
    </w:p>
    <w:p w:rsidR="004D1EAE" w:rsidRPr="009D244E" w:rsidRDefault="004D1EAE" w:rsidP="004D1EAE">
      <w:pPr>
        <w:spacing w:line="480" w:lineRule="auto"/>
        <w:jc w:val="both"/>
        <w:rPr>
          <w:rFonts w:asciiTheme="majorBidi" w:hAnsiTheme="majorBidi" w:cstheme="majorBidi"/>
          <w:i/>
        </w:rPr>
      </w:pPr>
      <w:r>
        <w:rPr>
          <w:rFonts w:asciiTheme="majorBidi" w:hAnsiTheme="majorBidi" w:cstheme="majorBidi"/>
          <w:i/>
        </w:rPr>
        <w:t>2.1 Form 8-K</w:t>
      </w:r>
      <w:r w:rsidRPr="009D244E">
        <w:rPr>
          <w:rFonts w:asciiTheme="majorBidi" w:hAnsiTheme="majorBidi" w:cstheme="majorBidi"/>
          <w:i/>
        </w:rPr>
        <w:t xml:space="preserve"> </w:t>
      </w:r>
    </w:p>
    <w:p w:rsidR="004D1EAE" w:rsidRPr="00092EA5" w:rsidRDefault="004D1EAE" w:rsidP="004D1EAE">
      <w:pPr>
        <w:widowControl w:val="0"/>
        <w:spacing w:line="480" w:lineRule="auto"/>
        <w:ind w:firstLine="567"/>
        <w:jc w:val="both"/>
        <w:rPr>
          <w:rFonts w:eastAsia="Times New Roman"/>
          <w:bCs/>
        </w:rPr>
      </w:pPr>
      <w:r w:rsidRPr="00092EA5">
        <w:rPr>
          <w:rFonts w:eastAsia="Times New Roman"/>
          <w:bCs/>
        </w:rPr>
        <w:t xml:space="preserve">In addition to filing quarterly reports on Form 10-Q and annual reports on Form 10-K, public firms must report on certain material corporate events on a more current basis. These are filed with the SEC on Form 8-K (“current report”) and serve to announce major events of interest to security holders. Events that would trigger an </w:t>
      </w:r>
      <w:r w:rsidRPr="00092EA5">
        <w:rPr>
          <w:rFonts w:eastAsia="Times New Roman"/>
          <w:bCs/>
        </w:rPr>
        <w:lastRenderedPageBreak/>
        <w:t>obligation to file Form 8-K include those affecting the registrant’s business and operations, financial information, securities and trading markets, accountants and financial statements, or corporate governance and management.</w:t>
      </w:r>
      <w:r w:rsidRPr="00092EA5">
        <w:rPr>
          <w:rStyle w:val="FootnoteReference"/>
        </w:rPr>
        <w:footnoteReference w:id="4"/>
      </w:r>
      <w:r w:rsidRPr="00092EA5">
        <w:rPr>
          <w:rFonts w:eastAsia="Times New Roman"/>
          <w:bCs/>
        </w:rPr>
        <w:t xml:space="preserve"> </w:t>
      </w:r>
    </w:p>
    <w:p w:rsidR="004D1EAE" w:rsidRDefault="004D1EAE" w:rsidP="004D1EAE">
      <w:pPr>
        <w:widowControl w:val="0"/>
        <w:spacing w:line="480" w:lineRule="auto"/>
        <w:ind w:firstLine="567"/>
        <w:jc w:val="both"/>
        <w:rPr>
          <w:rFonts w:eastAsia="Times New Roman"/>
          <w:bCs/>
        </w:rPr>
      </w:pPr>
      <w:r w:rsidRPr="00092EA5">
        <w:rPr>
          <w:rFonts w:eastAsia="Times New Roman"/>
          <w:bCs/>
        </w:rPr>
        <w:t>The importance of Form 8-K filings can be gauged by the fact that between 1996 and 2011 both public and non-public firms filed close to 800,000 such filings</w:t>
      </w:r>
      <w:r>
        <w:rPr>
          <w:rFonts w:eastAsia="Times New Roman"/>
          <w:bCs/>
        </w:rPr>
        <w:t xml:space="preserve"> (Segal and Segal</w:t>
      </w:r>
      <w:r w:rsidR="00E9678C">
        <w:rPr>
          <w:rFonts w:eastAsia="Times New Roman"/>
          <w:bCs/>
        </w:rPr>
        <w:t>,</w:t>
      </w:r>
      <w:r>
        <w:rPr>
          <w:rFonts w:eastAsia="Times New Roman"/>
          <w:bCs/>
        </w:rPr>
        <w:t xml:space="preserve"> 2013)</w:t>
      </w:r>
      <w:r w:rsidRPr="00092EA5">
        <w:rPr>
          <w:rFonts w:eastAsia="Times New Roman"/>
          <w:bCs/>
        </w:rPr>
        <w:t xml:space="preserve">, and prior research shows that 8-K filings contain information that has valuation implications. Specifically, Livnat and Lerman </w:t>
      </w:r>
      <w:r>
        <w:rPr>
          <w:rFonts w:eastAsia="Times New Roman"/>
          <w:bCs/>
        </w:rPr>
        <w:t>(2</w:t>
      </w:r>
      <w:r w:rsidRPr="00092EA5">
        <w:rPr>
          <w:rFonts w:eastAsia="Times New Roman"/>
          <w:bCs/>
        </w:rPr>
        <w:t>009</w:t>
      </w:r>
      <w:r>
        <w:rPr>
          <w:rFonts w:eastAsia="Times New Roman"/>
          <w:bCs/>
        </w:rPr>
        <w:t>)</w:t>
      </w:r>
      <w:r w:rsidRPr="00092EA5">
        <w:rPr>
          <w:rFonts w:eastAsia="Times New Roman"/>
          <w:bCs/>
        </w:rPr>
        <w:t xml:space="preserve"> conduct a large sample investigation of 8-K filings </w:t>
      </w:r>
      <w:r>
        <w:rPr>
          <w:rFonts w:eastAsia="Times New Roman"/>
          <w:bCs/>
        </w:rPr>
        <w:t>and find</w:t>
      </w:r>
      <w:r w:rsidRPr="00092EA5">
        <w:rPr>
          <w:rFonts w:eastAsia="Times New Roman"/>
          <w:bCs/>
        </w:rPr>
        <w:t xml:space="preserve"> that disclosed items</w:t>
      </w:r>
      <w:r>
        <w:rPr>
          <w:rFonts w:eastAsia="Times New Roman"/>
          <w:bCs/>
        </w:rPr>
        <w:t>, both earnings and non-earnings related,</w:t>
      </w:r>
      <w:r w:rsidRPr="00092EA5">
        <w:rPr>
          <w:rFonts w:eastAsia="Times New Roman"/>
          <w:bCs/>
        </w:rPr>
        <w:t xml:space="preserve"> are associated with abnormal volume and equity return, indicating that events reported on the 8-K form have economic substance. </w:t>
      </w:r>
      <w:r>
        <w:rPr>
          <w:rFonts w:eastAsia="Times New Roman"/>
          <w:bCs/>
        </w:rPr>
        <w:t xml:space="preserve">Segal and Segal (2013) provide evidence consistent with strategic disclosure of 8-K reports. They document evidence consistent with </w:t>
      </w:r>
      <w:r w:rsidRPr="00092EA5">
        <w:rPr>
          <w:rFonts w:eastAsia="Times New Roman"/>
        </w:rPr>
        <w:t>managers engag</w:t>
      </w:r>
      <w:r>
        <w:rPr>
          <w:rFonts w:eastAsia="Times New Roman"/>
        </w:rPr>
        <w:t>ing</w:t>
      </w:r>
      <w:r w:rsidRPr="00092EA5">
        <w:rPr>
          <w:rFonts w:eastAsia="Times New Roman"/>
        </w:rPr>
        <w:t xml:space="preserve"> in strategic disclosure by delaying or obfuscating negative news in order to mitigate the potential market reaction.</w:t>
      </w:r>
      <w:r>
        <w:rPr>
          <w:rFonts w:eastAsia="Times New Roman"/>
        </w:rPr>
        <w:t xml:space="preserve"> </w:t>
      </w:r>
      <w:r w:rsidRPr="00092EA5">
        <w:rPr>
          <w:rFonts w:eastAsia="Times New Roman"/>
          <w:bCs/>
        </w:rPr>
        <w:t>Other studies generally investigate individual categories in the filings, such as change of</w:t>
      </w:r>
      <w:r>
        <w:rPr>
          <w:rFonts w:eastAsia="Times New Roman"/>
          <w:bCs/>
        </w:rPr>
        <w:t xml:space="preserve"> auditor announcements (Schwart</w:t>
      </w:r>
      <w:r w:rsidRPr="00510E7E">
        <w:rPr>
          <w:rFonts w:eastAsia="Times New Roman"/>
          <w:bCs/>
        </w:rPr>
        <w:t>z</w:t>
      </w:r>
      <w:r w:rsidRPr="00092EA5">
        <w:rPr>
          <w:rFonts w:eastAsia="Times New Roman"/>
          <w:bCs/>
        </w:rPr>
        <w:t xml:space="preserve"> and Soo</w:t>
      </w:r>
      <w:r>
        <w:rPr>
          <w:rFonts w:eastAsia="Times New Roman"/>
          <w:bCs/>
        </w:rPr>
        <w:t>,</w:t>
      </w:r>
      <w:r w:rsidRPr="00092EA5">
        <w:rPr>
          <w:rFonts w:eastAsia="Times New Roman"/>
          <w:bCs/>
        </w:rPr>
        <w:t xml:space="preserve"> 1996), non-reliance on previously issued financial statements (Feldman et al.</w:t>
      </w:r>
      <w:r>
        <w:rPr>
          <w:rFonts w:eastAsia="Times New Roman"/>
          <w:bCs/>
        </w:rPr>
        <w:t>,</w:t>
      </w:r>
      <w:r w:rsidRPr="00092EA5">
        <w:rPr>
          <w:rFonts w:eastAsia="Times New Roman"/>
          <w:bCs/>
        </w:rPr>
        <w:t xml:space="preserve"> 2008</w:t>
      </w:r>
      <w:r>
        <w:rPr>
          <w:rFonts w:eastAsia="Times New Roman"/>
          <w:bCs/>
        </w:rPr>
        <w:t xml:space="preserve">), Regulation FD (Griffin et al., </w:t>
      </w:r>
      <w:r w:rsidRPr="00092EA5">
        <w:rPr>
          <w:rFonts w:eastAsia="Times New Roman"/>
          <w:bCs/>
        </w:rPr>
        <w:t xml:space="preserve">2011), </w:t>
      </w:r>
      <w:r>
        <w:rPr>
          <w:rFonts w:eastAsia="Times New Roman"/>
          <w:bCs/>
        </w:rPr>
        <w:t>changes in external auditors (</w:t>
      </w:r>
      <w:r w:rsidRPr="00092EA5">
        <w:rPr>
          <w:rFonts w:eastAsia="Times New Roman"/>
          <w:bCs/>
        </w:rPr>
        <w:t>Ettredge et al.</w:t>
      </w:r>
      <w:r>
        <w:rPr>
          <w:rFonts w:eastAsia="Times New Roman"/>
          <w:bCs/>
        </w:rPr>
        <w:t>,</w:t>
      </w:r>
      <w:r w:rsidRPr="00092EA5">
        <w:rPr>
          <w:rFonts w:eastAsia="Times New Roman"/>
          <w:bCs/>
        </w:rPr>
        <w:t xml:space="preserve"> </w:t>
      </w:r>
      <w:r>
        <w:rPr>
          <w:rFonts w:eastAsia="Times New Roman"/>
          <w:bCs/>
        </w:rPr>
        <w:t>2</w:t>
      </w:r>
      <w:r w:rsidRPr="00092EA5">
        <w:rPr>
          <w:rFonts w:eastAsia="Times New Roman"/>
          <w:bCs/>
        </w:rPr>
        <w:t>011</w:t>
      </w:r>
      <w:r>
        <w:rPr>
          <w:rFonts w:eastAsia="Times New Roman"/>
          <w:bCs/>
        </w:rPr>
        <w:t>),</w:t>
      </w:r>
      <w:r w:rsidRPr="00092EA5">
        <w:rPr>
          <w:rFonts w:eastAsia="Times New Roman"/>
          <w:bCs/>
        </w:rPr>
        <w:t xml:space="preserve"> or director resignations and departures (Bar-Hava et al.</w:t>
      </w:r>
      <w:r>
        <w:rPr>
          <w:rFonts w:eastAsia="Times New Roman"/>
          <w:bCs/>
        </w:rPr>
        <w:t>,</w:t>
      </w:r>
      <w:r w:rsidRPr="00092EA5">
        <w:rPr>
          <w:rFonts w:eastAsia="Times New Roman"/>
          <w:bCs/>
        </w:rPr>
        <w:t xml:space="preserve"> 2012). These studies tend to focus on timeliness compliance (whether the events are reported within the required reporting window) and/or market reaction. </w:t>
      </w:r>
    </w:p>
    <w:p w:rsidR="004D1EAE" w:rsidRDefault="004D1EAE" w:rsidP="004D1EAE">
      <w:pPr>
        <w:spacing w:line="480" w:lineRule="auto"/>
        <w:jc w:val="both"/>
        <w:rPr>
          <w:rFonts w:asciiTheme="majorBidi" w:hAnsiTheme="majorBidi" w:cstheme="majorBidi"/>
          <w:i/>
        </w:rPr>
      </w:pPr>
    </w:p>
    <w:p w:rsidR="004D1EAE" w:rsidRPr="009D244E" w:rsidRDefault="004D1EAE" w:rsidP="004D1EAE">
      <w:pPr>
        <w:spacing w:line="480" w:lineRule="auto"/>
        <w:jc w:val="both"/>
        <w:rPr>
          <w:rFonts w:asciiTheme="majorBidi" w:hAnsiTheme="majorBidi" w:cstheme="majorBidi"/>
          <w:i/>
        </w:rPr>
      </w:pPr>
      <w:r>
        <w:rPr>
          <w:rFonts w:asciiTheme="majorBidi" w:hAnsiTheme="majorBidi" w:cstheme="majorBidi"/>
          <w:i/>
        </w:rPr>
        <w:t>2.2 Analysts Reaction to Non-Earnings Information</w:t>
      </w:r>
      <w:r w:rsidRPr="009D244E">
        <w:rPr>
          <w:rFonts w:asciiTheme="majorBidi" w:hAnsiTheme="majorBidi" w:cstheme="majorBidi"/>
          <w:i/>
        </w:rPr>
        <w:t xml:space="preserve"> </w:t>
      </w:r>
    </w:p>
    <w:p w:rsidR="004D1EAE" w:rsidRDefault="004D1EAE" w:rsidP="004D1EAE">
      <w:pPr>
        <w:autoSpaceDE w:val="0"/>
        <w:autoSpaceDN w:val="0"/>
        <w:adjustRightInd w:val="0"/>
        <w:spacing w:line="480" w:lineRule="auto"/>
        <w:ind w:firstLine="720"/>
        <w:jc w:val="both"/>
        <w:rPr>
          <w:rFonts w:asciiTheme="majorBidi" w:hAnsiTheme="majorBidi" w:cstheme="majorBidi"/>
          <w:lang w:bidi="he-IL"/>
        </w:rPr>
      </w:pPr>
      <w:r>
        <w:rPr>
          <w:rFonts w:asciiTheme="majorBidi" w:hAnsiTheme="majorBidi" w:cstheme="majorBidi"/>
          <w:lang w:bidi="he-IL"/>
        </w:rPr>
        <w:t xml:space="preserve">One of the most important </w:t>
      </w:r>
      <w:r w:rsidR="00096EAF">
        <w:rPr>
          <w:rFonts w:asciiTheme="majorBidi" w:hAnsiTheme="majorBidi" w:cstheme="majorBidi"/>
          <w:lang w:bidi="he-IL"/>
        </w:rPr>
        <w:t>roles</w:t>
      </w:r>
      <w:r>
        <w:rPr>
          <w:rFonts w:asciiTheme="majorBidi" w:hAnsiTheme="majorBidi" w:cstheme="majorBidi"/>
          <w:lang w:bidi="he-IL"/>
        </w:rPr>
        <w:t xml:space="preserve"> of analysts is to interpret information that arrives at the market. Analysts routinely receive public information and use their </w:t>
      </w:r>
      <w:r>
        <w:rPr>
          <w:rFonts w:asciiTheme="majorBidi" w:hAnsiTheme="majorBidi" w:cstheme="majorBidi"/>
          <w:lang w:bidi="he-IL"/>
        </w:rPr>
        <w:lastRenderedPageBreak/>
        <w:t>expertise and knowledge to interpret the information and transform it to forecasts and recommendations which are then used by investors in making investment decision</w:t>
      </w:r>
      <w:r w:rsidR="00E9678C">
        <w:rPr>
          <w:rFonts w:asciiTheme="majorBidi" w:hAnsiTheme="majorBidi" w:cstheme="majorBidi"/>
          <w:lang w:bidi="he-IL"/>
        </w:rPr>
        <w:t>s</w:t>
      </w:r>
      <w:r>
        <w:rPr>
          <w:rFonts w:asciiTheme="majorBidi" w:hAnsiTheme="majorBidi" w:cstheme="majorBidi"/>
          <w:lang w:bidi="he-IL"/>
        </w:rPr>
        <w:t xml:space="preserve">. </w:t>
      </w:r>
      <w:r w:rsidRPr="00A35852">
        <w:rPr>
          <w:rFonts w:asciiTheme="majorBidi" w:hAnsiTheme="majorBidi" w:cstheme="majorBidi"/>
          <w:lang w:bidi="he-IL"/>
        </w:rPr>
        <w:t>In this study</w:t>
      </w:r>
      <w:r>
        <w:rPr>
          <w:rFonts w:asciiTheme="majorBidi" w:hAnsiTheme="majorBidi" w:cstheme="majorBidi"/>
          <w:lang w:bidi="he-IL"/>
        </w:rPr>
        <w:t xml:space="preserve"> we focus on this interpretation role and examine whether analysts react to non-earnings related information</w:t>
      </w:r>
      <w:r w:rsidR="00E9678C">
        <w:rPr>
          <w:rFonts w:asciiTheme="majorBidi" w:hAnsiTheme="majorBidi" w:cstheme="majorBidi"/>
          <w:lang w:bidi="he-IL"/>
        </w:rPr>
        <w:t>,</w:t>
      </w:r>
      <w:r>
        <w:rPr>
          <w:rFonts w:asciiTheme="majorBidi" w:hAnsiTheme="majorBidi" w:cstheme="majorBidi"/>
          <w:lang w:bidi="he-IL"/>
        </w:rPr>
        <w:t xml:space="preserve"> and whether such reaction is indicative of superior ability.</w:t>
      </w:r>
    </w:p>
    <w:p w:rsidR="004D1EAE" w:rsidRDefault="004D1EAE" w:rsidP="004D1EAE">
      <w:pPr>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lang w:bidi="he-IL"/>
        </w:rPr>
        <w:t>While</w:t>
      </w:r>
      <w:r w:rsidRPr="008B6492">
        <w:rPr>
          <w:rFonts w:asciiTheme="majorBidi" w:hAnsiTheme="majorBidi" w:cstheme="majorBidi"/>
          <w:lang w:bidi="he-IL"/>
        </w:rPr>
        <w:t xml:space="preserve"> analysts’ recommendations and forecasts are well studied</w:t>
      </w:r>
      <w:r>
        <w:rPr>
          <w:rFonts w:asciiTheme="majorBidi" w:hAnsiTheme="majorBidi" w:cstheme="majorBidi"/>
          <w:lang w:bidi="he-IL"/>
        </w:rPr>
        <w:t>,</w:t>
      </w:r>
      <w:r w:rsidRPr="008B6492">
        <w:rPr>
          <w:rFonts w:asciiTheme="majorBidi" w:hAnsiTheme="majorBidi" w:cstheme="majorBidi"/>
          <w:lang w:bidi="he-IL"/>
        </w:rPr>
        <w:t xml:space="preserve"> </w:t>
      </w:r>
      <w:r w:rsidRPr="008B6492">
        <w:rPr>
          <w:rFonts w:asciiTheme="majorBidi" w:hAnsiTheme="majorBidi" w:cstheme="majorBidi"/>
          <w:color w:val="000000"/>
          <w:lang w:bidi="he-IL"/>
        </w:rPr>
        <w:t xml:space="preserve">most studies </w:t>
      </w:r>
      <w:r>
        <w:rPr>
          <w:rFonts w:asciiTheme="majorBidi" w:hAnsiTheme="majorBidi" w:cstheme="majorBidi"/>
          <w:color w:val="000000"/>
          <w:lang w:bidi="he-IL"/>
        </w:rPr>
        <w:t>on the interpretation role f</w:t>
      </w:r>
      <w:r w:rsidRPr="008B6492">
        <w:rPr>
          <w:rFonts w:asciiTheme="majorBidi" w:hAnsiTheme="majorBidi" w:cstheme="majorBidi"/>
          <w:color w:val="000000"/>
          <w:lang w:bidi="he-IL"/>
        </w:rPr>
        <w:t xml:space="preserve">ocus on earnings announcements as the only significant corporate public information release and implicitly assume that analysts’ interpretation role only applies </w:t>
      </w:r>
      <w:r>
        <w:rPr>
          <w:rFonts w:asciiTheme="majorBidi" w:hAnsiTheme="majorBidi" w:cstheme="majorBidi"/>
          <w:color w:val="000000"/>
          <w:lang w:bidi="he-IL"/>
        </w:rPr>
        <w:t xml:space="preserve">to the information contained in </w:t>
      </w:r>
      <w:r w:rsidRPr="008B6492">
        <w:rPr>
          <w:rFonts w:asciiTheme="majorBidi" w:hAnsiTheme="majorBidi" w:cstheme="majorBidi"/>
          <w:color w:val="000000"/>
          <w:lang w:bidi="he-IL"/>
        </w:rPr>
        <w:t>earnings announcements. Studies that analyze the quality of forecasts and recommendations</w:t>
      </w:r>
      <w:r>
        <w:rPr>
          <w:rFonts w:asciiTheme="majorBidi" w:hAnsiTheme="majorBidi" w:cstheme="majorBidi"/>
          <w:color w:val="000000"/>
          <w:lang w:bidi="he-IL"/>
        </w:rPr>
        <w:t xml:space="preserve"> of analysts related to information</w:t>
      </w:r>
      <w:r w:rsidRPr="008B6492">
        <w:rPr>
          <w:rFonts w:asciiTheme="majorBidi" w:hAnsiTheme="majorBidi" w:cstheme="majorBidi"/>
          <w:color w:val="000000"/>
          <w:lang w:bidi="he-IL"/>
        </w:rPr>
        <w:t xml:space="preserve"> </w:t>
      </w:r>
      <w:r>
        <w:rPr>
          <w:rFonts w:asciiTheme="majorBidi" w:hAnsiTheme="majorBidi" w:cstheme="majorBidi"/>
          <w:color w:val="000000"/>
          <w:lang w:bidi="he-IL"/>
        </w:rPr>
        <w:t xml:space="preserve">other than earnings </w:t>
      </w:r>
      <w:r w:rsidRPr="008B6492">
        <w:rPr>
          <w:rFonts w:asciiTheme="majorBidi" w:hAnsiTheme="majorBidi" w:cstheme="majorBidi"/>
          <w:color w:val="000000"/>
          <w:lang w:bidi="he-IL"/>
        </w:rPr>
        <w:t xml:space="preserve">provide evidence that </w:t>
      </w:r>
      <w:r w:rsidRPr="008B6492">
        <w:rPr>
          <w:rFonts w:asciiTheme="majorBidi" w:hAnsiTheme="majorBidi" w:cstheme="majorBidi"/>
        </w:rPr>
        <w:t xml:space="preserve">analysts </w:t>
      </w:r>
      <w:r w:rsidR="00E73051">
        <w:rPr>
          <w:rFonts w:asciiTheme="majorBidi" w:hAnsiTheme="majorBidi" w:cstheme="majorBidi"/>
        </w:rPr>
        <w:t xml:space="preserve">in general </w:t>
      </w:r>
      <w:r>
        <w:rPr>
          <w:rFonts w:asciiTheme="majorBidi" w:hAnsiTheme="majorBidi" w:cstheme="majorBidi"/>
        </w:rPr>
        <w:t>do not fully</w:t>
      </w:r>
      <w:r w:rsidRPr="008B6492">
        <w:rPr>
          <w:rFonts w:asciiTheme="majorBidi" w:hAnsiTheme="majorBidi" w:cstheme="majorBidi"/>
        </w:rPr>
        <w:t xml:space="preserve"> </w:t>
      </w:r>
      <w:r>
        <w:rPr>
          <w:rFonts w:asciiTheme="majorBidi" w:hAnsiTheme="majorBidi" w:cstheme="majorBidi"/>
        </w:rPr>
        <w:t>incorporate</w:t>
      </w:r>
      <w:r w:rsidRPr="008B6492">
        <w:rPr>
          <w:rFonts w:asciiTheme="majorBidi" w:hAnsiTheme="majorBidi" w:cstheme="majorBidi"/>
        </w:rPr>
        <w:t xml:space="preserve"> public information that is not directly earnings news, </w:t>
      </w:r>
      <w:r>
        <w:rPr>
          <w:rFonts w:asciiTheme="majorBidi" w:hAnsiTheme="majorBidi" w:cstheme="majorBidi"/>
        </w:rPr>
        <w:t>although the information has</w:t>
      </w:r>
      <w:r w:rsidRPr="008B6492">
        <w:rPr>
          <w:rFonts w:asciiTheme="majorBidi" w:hAnsiTheme="majorBidi" w:cstheme="majorBidi"/>
        </w:rPr>
        <w:t xml:space="preserve"> an effect on future earnings</w:t>
      </w:r>
      <w:r w:rsidR="00E9678C">
        <w:rPr>
          <w:rFonts w:asciiTheme="majorBidi" w:hAnsiTheme="majorBidi" w:cstheme="majorBidi"/>
        </w:rPr>
        <w:t>,</w:t>
      </w:r>
      <w:r w:rsidRPr="008B6492">
        <w:rPr>
          <w:rFonts w:asciiTheme="majorBidi" w:hAnsiTheme="majorBidi" w:cstheme="majorBidi"/>
        </w:rPr>
        <w:t xml:space="preserve"> </w:t>
      </w:r>
      <w:r>
        <w:rPr>
          <w:rFonts w:asciiTheme="majorBidi" w:hAnsiTheme="majorBidi" w:cstheme="majorBidi"/>
        </w:rPr>
        <w:t xml:space="preserve">albeit </w:t>
      </w:r>
      <w:r w:rsidRPr="008B6492">
        <w:rPr>
          <w:rFonts w:asciiTheme="majorBidi" w:hAnsiTheme="majorBidi" w:cstheme="majorBidi"/>
        </w:rPr>
        <w:t xml:space="preserve">indirectly. </w:t>
      </w:r>
      <w:r w:rsidR="00096EAF" w:rsidRPr="008B6492">
        <w:rPr>
          <w:rFonts w:asciiTheme="majorBidi" w:hAnsiTheme="majorBidi" w:cstheme="majorBidi"/>
        </w:rPr>
        <w:t>Bartov and Bondar (1994) find that analysts</w:t>
      </w:r>
      <w:r w:rsidR="00096EAF">
        <w:rPr>
          <w:rFonts w:asciiTheme="majorBidi" w:hAnsiTheme="majorBidi" w:cstheme="majorBidi"/>
        </w:rPr>
        <w:t>'</w:t>
      </w:r>
      <w:r w:rsidR="00096EAF" w:rsidRPr="008B6492">
        <w:rPr>
          <w:rFonts w:asciiTheme="majorBidi" w:hAnsiTheme="majorBidi" w:cstheme="majorBidi"/>
        </w:rPr>
        <w:t xml:space="preserve"> forecast errors are correlated with changes in exchange rates. </w:t>
      </w:r>
      <w:r w:rsidRPr="008B6492">
        <w:rPr>
          <w:rFonts w:asciiTheme="majorBidi" w:hAnsiTheme="majorBidi" w:cstheme="majorBidi"/>
        </w:rPr>
        <w:t xml:space="preserve">Elliott et al. (1995) find that analysts systematically underweight new information. Abarbanell and Bushee (1997) find that </w:t>
      </w:r>
      <w:r w:rsidRPr="00A35852">
        <w:rPr>
          <w:rFonts w:asciiTheme="majorBidi" w:hAnsiTheme="majorBidi" w:cstheme="majorBidi"/>
        </w:rPr>
        <w:t>forecast revision</w:t>
      </w:r>
      <w:r w:rsidR="00E73051">
        <w:rPr>
          <w:rFonts w:asciiTheme="majorBidi" w:hAnsiTheme="majorBidi" w:cstheme="majorBidi"/>
        </w:rPr>
        <w:t>s</w:t>
      </w:r>
      <w:r w:rsidRPr="008B6492">
        <w:rPr>
          <w:rFonts w:asciiTheme="majorBidi" w:hAnsiTheme="majorBidi" w:cstheme="majorBidi"/>
        </w:rPr>
        <w:t xml:space="preserve"> </w:t>
      </w:r>
      <w:r w:rsidR="00E73051">
        <w:rPr>
          <w:rFonts w:asciiTheme="majorBidi" w:hAnsiTheme="majorBidi" w:cstheme="majorBidi"/>
        </w:rPr>
        <w:t>do not incorporate</w:t>
      </w:r>
      <w:r w:rsidR="00E73051" w:rsidRPr="008B6492">
        <w:rPr>
          <w:rFonts w:asciiTheme="majorBidi" w:hAnsiTheme="majorBidi" w:cstheme="majorBidi"/>
        </w:rPr>
        <w:t xml:space="preserve"> </w:t>
      </w:r>
      <w:r w:rsidRPr="008B6492">
        <w:rPr>
          <w:rFonts w:asciiTheme="majorBidi" w:hAnsiTheme="majorBidi" w:cstheme="majorBidi"/>
        </w:rPr>
        <w:t xml:space="preserve">all of the information in fundamental signals related to future earnings, implying that analysts ignore available non-earnings information. Chaney et al. (1999) find that analysts do not interpret the implications of </w:t>
      </w:r>
      <w:r w:rsidRPr="00A35852">
        <w:rPr>
          <w:rFonts w:asciiTheme="majorBidi" w:hAnsiTheme="majorBidi" w:cstheme="majorBidi"/>
        </w:rPr>
        <w:t>restructuring charges</w:t>
      </w:r>
      <w:r w:rsidRPr="008B6492">
        <w:rPr>
          <w:rFonts w:asciiTheme="majorBidi" w:hAnsiTheme="majorBidi" w:cstheme="majorBidi"/>
        </w:rPr>
        <w:t xml:space="preserve"> appropriately. Bradshaw et al. (2001) find that analysts do not fully adjust </w:t>
      </w:r>
      <w:r w:rsidRPr="002E3E99">
        <w:rPr>
          <w:rFonts w:asciiTheme="majorBidi" w:hAnsiTheme="majorBidi" w:cstheme="majorBidi"/>
        </w:rPr>
        <w:t>forecast</w:t>
      </w:r>
      <w:r w:rsidR="002E3E99">
        <w:rPr>
          <w:rFonts w:asciiTheme="majorBidi" w:hAnsiTheme="majorBidi" w:cstheme="majorBidi"/>
        </w:rPr>
        <w:t>s</w:t>
      </w:r>
      <w:r w:rsidRPr="008B6492">
        <w:rPr>
          <w:rFonts w:asciiTheme="majorBidi" w:hAnsiTheme="majorBidi" w:cstheme="majorBidi"/>
        </w:rPr>
        <w:t xml:space="preserve"> for </w:t>
      </w:r>
      <w:r>
        <w:rPr>
          <w:rFonts w:asciiTheme="majorBidi" w:hAnsiTheme="majorBidi" w:cstheme="majorBidi"/>
        </w:rPr>
        <w:t xml:space="preserve">high accruals </w:t>
      </w:r>
      <w:r w:rsidR="002E3E99">
        <w:rPr>
          <w:rFonts w:asciiTheme="majorBidi" w:hAnsiTheme="majorBidi" w:cstheme="majorBidi"/>
        </w:rPr>
        <w:t>even though</w:t>
      </w:r>
      <w:r>
        <w:rPr>
          <w:rFonts w:asciiTheme="majorBidi" w:hAnsiTheme="majorBidi" w:cstheme="majorBidi"/>
        </w:rPr>
        <w:t xml:space="preserve"> </w:t>
      </w:r>
      <w:r w:rsidRPr="00A57C49">
        <w:rPr>
          <w:rFonts w:asciiTheme="majorBidi" w:hAnsiTheme="majorBidi" w:cstheme="majorBidi"/>
        </w:rPr>
        <w:t>ﬁrms with high accruals are more likely</w:t>
      </w:r>
      <w:r>
        <w:rPr>
          <w:rFonts w:asciiTheme="majorBidi" w:hAnsiTheme="majorBidi" w:cstheme="majorBidi"/>
        </w:rPr>
        <w:t xml:space="preserve"> </w:t>
      </w:r>
      <w:r w:rsidRPr="00A57C49">
        <w:rPr>
          <w:rFonts w:asciiTheme="majorBidi" w:hAnsiTheme="majorBidi" w:cstheme="majorBidi"/>
        </w:rPr>
        <w:t xml:space="preserve">to experience </w:t>
      </w:r>
      <w:r>
        <w:rPr>
          <w:rFonts w:asciiTheme="majorBidi" w:hAnsiTheme="majorBidi" w:cstheme="majorBidi"/>
        </w:rPr>
        <w:t>lower earning</w:t>
      </w:r>
      <w:r w:rsidRPr="00A57C49">
        <w:rPr>
          <w:rFonts w:asciiTheme="majorBidi" w:hAnsiTheme="majorBidi" w:cstheme="majorBidi"/>
        </w:rPr>
        <w:t>s</w:t>
      </w:r>
      <w:r>
        <w:rPr>
          <w:rFonts w:asciiTheme="majorBidi" w:hAnsiTheme="majorBidi" w:cstheme="majorBidi"/>
        </w:rPr>
        <w:t xml:space="preserve"> in the future. </w:t>
      </w:r>
    </w:p>
    <w:p w:rsidR="004D1EAE" w:rsidRDefault="00C839A2" w:rsidP="00021C1A">
      <w:pPr>
        <w:spacing w:line="480" w:lineRule="auto"/>
        <w:ind w:firstLine="567"/>
        <w:jc w:val="both"/>
        <w:rPr>
          <w:rFonts w:asciiTheme="majorBidi" w:hAnsiTheme="majorBidi" w:cstheme="majorBidi"/>
          <w:color w:val="000000"/>
          <w:lang w:bidi="he-IL"/>
        </w:rPr>
      </w:pPr>
      <w:r>
        <w:rPr>
          <w:rFonts w:asciiTheme="majorBidi" w:hAnsiTheme="majorBidi" w:cstheme="majorBidi"/>
          <w:color w:val="000000"/>
          <w:lang w:bidi="he-IL"/>
        </w:rPr>
        <w:t xml:space="preserve">Livnat and Zhang (2012) provide evidence that only 9% of the forecast revisions are preceded by non-earnings related information reported in 8-K. In contrast, 48% of the revisions are preceded by earnings announcement (which are also </w:t>
      </w:r>
      <w:r>
        <w:rPr>
          <w:rFonts w:asciiTheme="majorBidi" w:hAnsiTheme="majorBidi" w:cstheme="majorBidi"/>
          <w:color w:val="000000"/>
          <w:lang w:bidi="he-IL"/>
        </w:rPr>
        <w:lastRenderedPageBreak/>
        <w:t>reported on 8-K).</w:t>
      </w:r>
      <w:r w:rsidR="004D1EAE">
        <w:rPr>
          <w:rFonts w:asciiTheme="majorBidi" w:hAnsiTheme="majorBidi" w:cstheme="majorBidi"/>
          <w:color w:val="000000"/>
          <w:lang w:bidi="he-IL"/>
        </w:rPr>
        <w:t xml:space="preserve"> These statistics indicate that non-earnings related information triggers lower reaction by analysts. Th</w:t>
      </w:r>
      <w:r w:rsidR="00492149">
        <w:rPr>
          <w:rFonts w:asciiTheme="majorBidi" w:hAnsiTheme="majorBidi" w:cstheme="majorBidi"/>
          <w:color w:val="000000"/>
          <w:lang w:bidi="he-IL"/>
        </w:rPr>
        <w:t>is</w:t>
      </w:r>
      <w:r w:rsidR="004D1EAE">
        <w:rPr>
          <w:rFonts w:asciiTheme="majorBidi" w:hAnsiTheme="majorBidi" w:cstheme="majorBidi"/>
          <w:color w:val="000000"/>
          <w:lang w:bidi="he-IL"/>
        </w:rPr>
        <w:t xml:space="preserve"> lower reaction  can be attributed to two explanations: first, some of the items reported in 8-K forms, such as </w:t>
      </w:r>
      <w:r w:rsidR="004D1EAE" w:rsidRPr="00671F73">
        <w:rPr>
          <w:rFonts w:asciiTheme="majorBidi" w:hAnsiTheme="majorBidi" w:cstheme="majorBidi"/>
          <w:color w:val="000000"/>
          <w:lang w:bidi="he-IL"/>
        </w:rPr>
        <w:t>Material Modification to Rights of Security Holders (Item 3.03), Changes in Control of Registrant (Item 5.01), and Amendments to Articles of Incorporation or Bylaws; Change in Fiscal Year (Item 5.03)</w:t>
      </w:r>
      <w:r w:rsidR="004D1EAE">
        <w:rPr>
          <w:rFonts w:asciiTheme="majorBidi" w:hAnsiTheme="majorBidi" w:cstheme="majorBidi"/>
          <w:color w:val="000000"/>
          <w:lang w:bidi="he-IL"/>
        </w:rPr>
        <w:t>,</w:t>
      </w:r>
      <w:r w:rsidR="004D1EAE">
        <w:rPr>
          <w:sz w:val="20"/>
          <w:szCs w:val="20"/>
        </w:rPr>
        <w:t xml:space="preserve"> </w:t>
      </w:r>
      <w:r w:rsidR="004D1EAE">
        <w:rPr>
          <w:rFonts w:asciiTheme="majorBidi" w:hAnsiTheme="majorBidi" w:cstheme="majorBidi"/>
          <w:color w:val="000000"/>
          <w:lang w:bidi="he-IL"/>
        </w:rPr>
        <w:t xml:space="preserve">do not seem to have clear relation to future earnings. Second, </w:t>
      </w:r>
      <w:r w:rsidR="004D1EAE">
        <w:rPr>
          <w:bCs/>
          <w:lang w:val="en-CA"/>
        </w:rPr>
        <w:t xml:space="preserve">analysts differ in their ability to process and interpret non-earnings information and to transform the information into a meaningful forecast. This second </w:t>
      </w:r>
      <w:r w:rsidR="002E3E99">
        <w:rPr>
          <w:bCs/>
          <w:lang w:val="en-CA"/>
        </w:rPr>
        <w:t>explanation</w:t>
      </w:r>
      <w:r w:rsidR="004D1EAE">
        <w:rPr>
          <w:bCs/>
          <w:lang w:val="en-CA"/>
        </w:rPr>
        <w:t xml:space="preserve"> seems </w:t>
      </w:r>
      <w:r w:rsidR="004D1EAE" w:rsidRPr="002E3E99">
        <w:rPr>
          <w:bCs/>
          <w:lang w:val="en-CA"/>
        </w:rPr>
        <w:t>reasonable</w:t>
      </w:r>
      <w:r w:rsidR="004D1EAE">
        <w:rPr>
          <w:bCs/>
          <w:lang w:val="en-CA"/>
        </w:rPr>
        <w:t xml:space="preserve"> because </w:t>
      </w:r>
      <w:r w:rsidR="004D1EAE">
        <w:rPr>
          <w:rFonts w:asciiTheme="majorBidi" w:hAnsiTheme="majorBidi" w:cstheme="majorBidi"/>
          <w:color w:val="000000"/>
          <w:lang w:bidi="he-IL"/>
        </w:rPr>
        <w:t xml:space="preserve">the most frequent non-earnings related items </w:t>
      </w:r>
      <w:r w:rsidR="00021C1A">
        <w:rPr>
          <w:rFonts w:asciiTheme="majorBidi" w:hAnsiTheme="majorBidi" w:cstheme="majorBidi"/>
          <w:color w:val="000000"/>
          <w:lang w:bidi="he-IL"/>
        </w:rPr>
        <w:t xml:space="preserve">seem to </w:t>
      </w:r>
      <w:r w:rsidR="004D1EAE">
        <w:rPr>
          <w:rFonts w:asciiTheme="majorBidi" w:hAnsiTheme="majorBidi" w:cstheme="majorBidi"/>
          <w:color w:val="000000"/>
          <w:lang w:bidi="he-IL"/>
        </w:rPr>
        <w:t xml:space="preserve">have </w:t>
      </w:r>
      <w:r w:rsidR="00021C1A">
        <w:rPr>
          <w:rFonts w:asciiTheme="majorBidi" w:hAnsiTheme="majorBidi" w:cstheme="majorBidi"/>
          <w:color w:val="000000"/>
          <w:lang w:bidi="he-IL"/>
        </w:rPr>
        <w:t xml:space="preserve">an </w:t>
      </w:r>
      <w:r w:rsidR="004D1EAE">
        <w:rPr>
          <w:rFonts w:asciiTheme="majorBidi" w:hAnsiTheme="majorBidi" w:cstheme="majorBidi"/>
          <w:color w:val="000000"/>
          <w:lang w:bidi="he-IL"/>
        </w:rPr>
        <w:t xml:space="preserve">impact on future earnings. </w:t>
      </w:r>
      <w:r w:rsidR="004D1EAE" w:rsidRPr="002E3E99">
        <w:rPr>
          <w:rFonts w:asciiTheme="majorBidi" w:hAnsiTheme="majorBidi" w:cstheme="majorBidi"/>
          <w:color w:val="000000"/>
          <w:lang w:bidi="he-IL"/>
        </w:rPr>
        <w:t>In our sample, Entry Into Material Definitive Agreement (Item 1.01) and Regulation FD Disclosure (Item 7.01), which are likely to have direct impact on future earnings, account for close to 50% of the non-earnings related items.</w:t>
      </w:r>
      <w:r w:rsidR="004D1EAE" w:rsidRPr="002E3E99">
        <w:rPr>
          <w:rStyle w:val="FootnoteReference"/>
          <w:rFonts w:eastAsia="Times New Roman"/>
          <w:bCs/>
        </w:rPr>
        <w:t xml:space="preserve"> </w:t>
      </w:r>
      <w:r w:rsidR="004D1EAE" w:rsidRPr="002E3E99">
        <w:rPr>
          <w:rStyle w:val="FootnoteReference"/>
          <w:rFonts w:eastAsia="Times New Roman"/>
          <w:bCs/>
        </w:rPr>
        <w:footnoteReference w:id="5"/>
      </w:r>
      <w:r w:rsidR="004D1EAE">
        <w:rPr>
          <w:rFonts w:asciiTheme="majorBidi" w:hAnsiTheme="majorBidi" w:cstheme="majorBidi"/>
          <w:color w:val="000000"/>
          <w:lang w:bidi="he-IL"/>
        </w:rPr>
        <w:t xml:space="preserve">  </w:t>
      </w:r>
    </w:p>
    <w:p w:rsidR="004D1EAE" w:rsidRDefault="004D1EAE" w:rsidP="004D1EAE">
      <w:pPr>
        <w:autoSpaceDE w:val="0"/>
        <w:autoSpaceDN w:val="0"/>
        <w:adjustRightInd w:val="0"/>
        <w:spacing w:line="480" w:lineRule="auto"/>
        <w:ind w:firstLine="720"/>
        <w:jc w:val="both"/>
        <w:rPr>
          <w:rFonts w:asciiTheme="majorBidi" w:hAnsiTheme="majorBidi" w:cstheme="majorBidi"/>
          <w:color w:val="000000"/>
          <w:lang w:bidi="he-IL"/>
        </w:rPr>
      </w:pPr>
      <w:r>
        <w:rPr>
          <w:rFonts w:asciiTheme="majorBidi" w:hAnsiTheme="majorBidi" w:cstheme="majorBidi"/>
          <w:color w:val="000000"/>
          <w:lang w:bidi="he-IL"/>
        </w:rPr>
        <w:t>Research on the relation between analysts characteristics and forecast attributes provide</w:t>
      </w:r>
      <w:r w:rsidR="00492149">
        <w:rPr>
          <w:rFonts w:asciiTheme="majorBidi" w:hAnsiTheme="majorBidi" w:cstheme="majorBidi"/>
          <w:color w:val="000000"/>
          <w:lang w:bidi="he-IL"/>
        </w:rPr>
        <w:t>s</w:t>
      </w:r>
      <w:r>
        <w:rPr>
          <w:rFonts w:asciiTheme="majorBidi" w:hAnsiTheme="majorBidi" w:cstheme="majorBidi"/>
          <w:color w:val="000000"/>
          <w:lang w:bidi="he-IL"/>
        </w:rPr>
        <w:t xml:space="preserve"> evidence that analysts differ in their ability and </w:t>
      </w:r>
      <w:r w:rsidRPr="002E3E99">
        <w:rPr>
          <w:rFonts w:asciiTheme="majorBidi" w:hAnsiTheme="majorBidi" w:cstheme="majorBidi"/>
          <w:color w:val="000000"/>
          <w:lang w:bidi="he-IL"/>
        </w:rPr>
        <w:t>consequently</w:t>
      </w:r>
      <w:r>
        <w:rPr>
          <w:rFonts w:asciiTheme="majorBidi" w:hAnsiTheme="majorBidi" w:cstheme="majorBidi"/>
          <w:color w:val="000000"/>
          <w:lang w:bidi="he-IL"/>
        </w:rPr>
        <w:t xml:space="preserve"> in their quality of their forecasts. </w:t>
      </w:r>
      <w:r>
        <w:rPr>
          <w:bCs/>
          <w:lang w:val="en-CA"/>
        </w:rPr>
        <w:t xml:space="preserve">Differences in analyst ability can arise from several factors, such as education, experience, and </w:t>
      </w:r>
      <w:r>
        <w:rPr>
          <w:bCs/>
          <w:lang w:bidi="he-IL"/>
        </w:rPr>
        <w:t>other cognitive attributes</w:t>
      </w:r>
      <w:r w:rsidRPr="00650CD7">
        <w:rPr>
          <w:rFonts w:asciiTheme="majorBidi" w:hAnsiTheme="majorBidi" w:cstheme="majorBidi"/>
          <w:color w:val="000000"/>
          <w:lang w:bidi="he-IL"/>
        </w:rPr>
        <w:t>. De</w:t>
      </w:r>
      <w:r w:rsidR="00B5024C">
        <w:rPr>
          <w:rFonts w:asciiTheme="majorBidi" w:hAnsiTheme="majorBidi" w:cstheme="majorBidi"/>
          <w:color w:val="000000"/>
          <w:lang w:bidi="he-IL"/>
        </w:rPr>
        <w:t xml:space="preserve"> </w:t>
      </w:r>
      <w:r w:rsidRPr="00650CD7">
        <w:rPr>
          <w:rFonts w:asciiTheme="majorBidi" w:hAnsiTheme="majorBidi" w:cstheme="majorBidi"/>
          <w:color w:val="000000"/>
          <w:lang w:bidi="he-IL"/>
        </w:rPr>
        <w:t>Franco and Zhou (2009) provide evidence that analysts with a CFA designation perform at modestly higher levels than non-charter</w:t>
      </w:r>
      <w:r w:rsidR="00492149">
        <w:rPr>
          <w:rFonts w:asciiTheme="majorBidi" w:hAnsiTheme="majorBidi" w:cstheme="majorBidi"/>
          <w:color w:val="000000"/>
          <w:lang w:bidi="he-IL"/>
        </w:rPr>
        <w:t xml:space="preserve"> </w:t>
      </w:r>
      <w:r w:rsidRPr="00650CD7">
        <w:rPr>
          <w:rFonts w:asciiTheme="majorBidi" w:hAnsiTheme="majorBidi" w:cstheme="majorBidi"/>
          <w:color w:val="000000"/>
          <w:lang w:bidi="he-IL"/>
        </w:rPr>
        <w:t>holders</w:t>
      </w:r>
      <w:r>
        <w:rPr>
          <w:rFonts w:asciiTheme="majorBidi" w:hAnsiTheme="majorBidi" w:cstheme="majorBidi"/>
          <w:color w:val="000000"/>
          <w:lang w:bidi="he-IL"/>
        </w:rPr>
        <w:t xml:space="preserve">. </w:t>
      </w:r>
      <w:r w:rsidRPr="008B6492">
        <w:rPr>
          <w:rFonts w:asciiTheme="majorBidi" w:hAnsiTheme="majorBidi" w:cstheme="majorBidi"/>
          <w:color w:val="000000"/>
          <w:lang w:bidi="he-IL"/>
        </w:rPr>
        <w:t>Sinha et al. (1997) find systematic difference</w:t>
      </w:r>
      <w:r w:rsidR="00492149">
        <w:rPr>
          <w:rFonts w:asciiTheme="majorBidi" w:hAnsiTheme="majorBidi" w:cstheme="majorBidi"/>
          <w:color w:val="000000"/>
          <w:lang w:bidi="he-IL"/>
        </w:rPr>
        <w:t>s</w:t>
      </w:r>
      <w:r w:rsidRPr="008B6492">
        <w:rPr>
          <w:rFonts w:asciiTheme="majorBidi" w:hAnsiTheme="majorBidi" w:cstheme="majorBidi"/>
          <w:color w:val="000000"/>
          <w:lang w:bidi="he-IL"/>
        </w:rPr>
        <w:t xml:space="preserve"> in forecast accuracy across analyst</w:t>
      </w:r>
      <w:r w:rsidR="00492149">
        <w:rPr>
          <w:rFonts w:asciiTheme="majorBidi" w:hAnsiTheme="majorBidi" w:cstheme="majorBidi"/>
          <w:color w:val="000000"/>
          <w:lang w:bidi="he-IL"/>
        </w:rPr>
        <w:t>s</w:t>
      </w:r>
      <w:r w:rsidRPr="008B6492">
        <w:rPr>
          <w:rFonts w:asciiTheme="majorBidi" w:hAnsiTheme="majorBidi" w:cstheme="majorBidi"/>
          <w:color w:val="000000"/>
          <w:lang w:bidi="he-IL"/>
        </w:rPr>
        <w:t xml:space="preserve"> in a framework that considers analysts’ skills a fixed parameter that does not vary over time. Other studies have considered the evolution of analysts’ characteristics over time. Mikhail et al. (1997) find that experience matters</w:t>
      </w:r>
      <w:r w:rsidR="00470577">
        <w:rPr>
          <w:rFonts w:asciiTheme="majorBidi" w:hAnsiTheme="majorBidi" w:cstheme="majorBidi"/>
          <w:color w:val="000000"/>
          <w:lang w:bidi="he-IL"/>
        </w:rPr>
        <w:t>,</w:t>
      </w:r>
      <w:r w:rsidRPr="008B6492">
        <w:rPr>
          <w:rFonts w:asciiTheme="majorBidi" w:hAnsiTheme="majorBidi" w:cstheme="majorBidi"/>
          <w:color w:val="000000"/>
          <w:lang w:bidi="he-IL"/>
        </w:rPr>
        <w:t xml:space="preserve"> and that forecast accuracy increases over time. </w:t>
      </w:r>
      <w:r w:rsidRPr="008B6492">
        <w:rPr>
          <w:rFonts w:asciiTheme="majorBidi" w:hAnsiTheme="majorBidi" w:cstheme="majorBidi"/>
          <w:color w:val="000000"/>
          <w:lang w:bidi="he-IL"/>
        </w:rPr>
        <w:lastRenderedPageBreak/>
        <w:t>Further</w:t>
      </w:r>
      <w:r w:rsidR="00470577">
        <w:rPr>
          <w:rFonts w:asciiTheme="majorBidi" w:hAnsiTheme="majorBidi" w:cstheme="majorBidi"/>
          <w:color w:val="000000"/>
          <w:lang w:bidi="he-IL"/>
        </w:rPr>
        <w:t>more</w:t>
      </w:r>
      <w:r w:rsidRPr="008B6492">
        <w:rPr>
          <w:rFonts w:asciiTheme="majorBidi" w:hAnsiTheme="majorBidi" w:cstheme="majorBidi"/>
          <w:color w:val="000000"/>
          <w:lang w:bidi="he-IL"/>
        </w:rPr>
        <w:t>, Hong et al. (2000) show that analysts tend to deviate from the consensus as a function of their experience</w:t>
      </w:r>
      <w:r w:rsidR="007634C5">
        <w:rPr>
          <w:rFonts w:asciiTheme="majorBidi" w:hAnsiTheme="majorBidi" w:cstheme="majorBidi"/>
          <w:color w:val="000000"/>
          <w:lang w:bidi="he-IL"/>
        </w:rPr>
        <w:t>,</w:t>
      </w:r>
      <w:r w:rsidRPr="008B6492">
        <w:rPr>
          <w:rFonts w:asciiTheme="majorBidi" w:hAnsiTheme="majorBidi" w:cstheme="majorBidi"/>
          <w:color w:val="000000"/>
          <w:lang w:bidi="he-IL"/>
        </w:rPr>
        <w:t xml:space="preserve"> </w:t>
      </w:r>
      <w:r>
        <w:rPr>
          <w:rFonts w:asciiTheme="majorBidi" w:hAnsiTheme="majorBidi" w:cstheme="majorBidi"/>
          <w:color w:val="000000"/>
          <w:lang w:bidi="he-IL"/>
        </w:rPr>
        <w:t>impl</w:t>
      </w:r>
      <w:r w:rsidR="007634C5">
        <w:rPr>
          <w:rFonts w:asciiTheme="majorBidi" w:hAnsiTheme="majorBidi" w:cstheme="majorBidi"/>
          <w:color w:val="000000"/>
          <w:lang w:bidi="he-IL"/>
        </w:rPr>
        <w:t>ying</w:t>
      </w:r>
      <w:r>
        <w:rPr>
          <w:rFonts w:asciiTheme="majorBidi" w:hAnsiTheme="majorBidi" w:cstheme="majorBidi"/>
          <w:color w:val="000000"/>
          <w:lang w:bidi="he-IL"/>
        </w:rPr>
        <w:t xml:space="preserve"> that there is </w:t>
      </w:r>
      <w:r w:rsidRPr="008B6492">
        <w:rPr>
          <w:rFonts w:asciiTheme="majorBidi" w:hAnsiTheme="majorBidi" w:cstheme="majorBidi"/>
          <w:color w:val="000000"/>
          <w:lang w:bidi="he-IL"/>
        </w:rPr>
        <w:t xml:space="preserve">a reduction in herding behavior over time. </w:t>
      </w:r>
      <w:r>
        <w:rPr>
          <w:rFonts w:asciiTheme="majorBidi" w:hAnsiTheme="majorBidi" w:cstheme="majorBidi"/>
          <w:color w:val="000000"/>
          <w:lang w:bidi="he-IL"/>
        </w:rPr>
        <w:t>O</w:t>
      </w:r>
      <w:r w:rsidRPr="008B6492">
        <w:rPr>
          <w:rFonts w:asciiTheme="majorBidi" w:hAnsiTheme="majorBidi" w:cstheme="majorBidi"/>
          <w:color w:val="000000"/>
          <w:lang w:bidi="he-IL"/>
        </w:rPr>
        <w:t>verall</w:t>
      </w:r>
      <w:r>
        <w:rPr>
          <w:rFonts w:asciiTheme="majorBidi" w:hAnsiTheme="majorBidi" w:cstheme="majorBidi"/>
          <w:color w:val="000000"/>
          <w:lang w:bidi="he-IL"/>
        </w:rPr>
        <w:t>,</w:t>
      </w:r>
      <w:r w:rsidRPr="008B6492">
        <w:rPr>
          <w:rFonts w:asciiTheme="majorBidi" w:hAnsiTheme="majorBidi" w:cstheme="majorBidi"/>
          <w:color w:val="000000"/>
          <w:lang w:bidi="he-IL"/>
        </w:rPr>
        <w:t xml:space="preserve"> the evidence suggests that </w:t>
      </w:r>
      <w:r>
        <w:rPr>
          <w:rFonts w:asciiTheme="majorBidi" w:hAnsiTheme="majorBidi" w:cstheme="majorBidi"/>
          <w:color w:val="000000"/>
          <w:lang w:bidi="he-IL"/>
        </w:rPr>
        <w:t xml:space="preserve">education and </w:t>
      </w:r>
      <w:r w:rsidRPr="008B6492">
        <w:rPr>
          <w:rFonts w:asciiTheme="majorBidi" w:hAnsiTheme="majorBidi" w:cstheme="majorBidi"/>
          <w:color w:val="000000"/>
          <w:lang w:bidi="he-IL"/>
        </w:rPr>
        <w:t>experience matter</w:t>
      </w:r>
      <w:r>
        <w:rPr>
          <w:rFonts w:asciiTheme="majorBidi" w:hAnsiTheme="majorBidi" w:cstheme="majorBidi"/>
          <w:color w:val="000000"/>
          <w:lang w:bidi="he-IL"/>
        </w:rPr>
        <w:t>,</w:t>
      </w:r>
      <w:r w:rsidRPr="008B6492">
        <w:rPr>
          <w:rFonts w:asciiTheme="majorBidi" w:hAnsiTheme="majorBidi" w:cstheme="majorBidi"/>
          <w:color w:val="000000"/>
          <w:lang w:bidi="he-IL"/>
        </w:rPr>
        <w:t xml:space="preserve"> and </w:t>
      </w:r>
      <w:r>
        <w:rPr>
          <w:rFonts w:asciiTheme="majorBidi" w:hAnsiTheme="majorBidi" w:cstheme="majorBidi"/>
          <w:color w:val="000000"/>
          <w:lang w:bidi="he-IL"/>
        </w:rPr>
        <w:t xml:space="preserve">that </w:t>
      </w:r>
      <w:r w:rsidRPr="008B6492">
        <w:rPr>
          <w:rFonts w:asciiTheme="majorBidi" w:hAnsiTheme="majorBidi" w:cstheme="majorBidi"/>
          <w:color w:val="000000"/>
          <w:lang w:bidi="he-IL"/>
        </w:rPr>
        <w:t>analysts become more skillful and independent thinker</w:t>
      </w:r>
      <w:r>
        <w:rPr>
          <w:rFonts w:asciiTheme="majorBidi" w:hAnsiTheme="majorBidi" w:cstheme="majorBidi"/>
          <w:color w:val="000000"/>
          <w:lang w:bidi="he-IL"/>
        </w:rPr>
        <w:t>s over time, which enables them to provide</w:t>
      </w:r>
      <w:r w:rsidRPr="008B6492">
        <w:rPr>
          <w:rFonts w:asciiTheme="majorBidi" w:hAnsiTheme="majorBidi" w:cstheme="majorBidi"/>
          <w:color w:val="000000"/>
          <w:lang w:bidi="he-IL"/>
        </w:rPr>
        <w:t xml:space="preserve"> more accurate forecasts. </w:t>
      </w:r>
      <w:r>
        <w:rPr>
          <w:rFonts w:asciiTheme="majorBidi" w:hAnsiTheme="majorBidi" w:cstheme="majorBidi"/>
          <w:color w:val="000000"/>
          <w:lang w:bidi="he-IL"/>
        </w:rPr>
        <w:t>Importantly, these findings indicate that there is variation in analysts' ability and skills</w:t>
      </w:r>
      <w:r w:rsidR="00470577">
        <w:rPr>
          <w:rFonts w:asciiTheme="majorBidi" w:hAnsiTheme="majorBidi" w:cstheme="majorBidi"/>
          <w:color w:val="000000"/>
          <w:lang w:bidi="he-IL"/>
        </w:rPr>
        <w:t>,</w:t>
      </w:r>
      <w:r>
        <w:rPr>
          <w:rFonts w:asciiTheme="majorBidi" w:hAnsiTheme="majorBidi" w:cstheme="majorBidi"/>
          <w:color w:val="000000"/>
          <w:lang w:bidi="he-IL"/>
        </w:rPr>
        <w:t xml:space="preserve"> both cross</w:t>
      </w:r>
      <w:r w:rsidR="00470577">
        <w:rPr>
          <w:rFonts w:asciiTheme="majorBidi" w:hAnsiTheme="majorBidi" w:cstheme="majorBidi"/>
          <w:color w:val="000000"/>
          <w:lang w:bidi="he-IL"/>
        </w:rPr>
        <w:t>-</w:t>
      </w:r>
      <w:r>
        <w:rPr>
          <w:rFonts w:asciiTheme="majorBidi" w:hAnsiTheme="majorBidi" w:cstheme="majorBidi"/>
          <w:color w:val="000000"/>
          <w:lang w:bidi="he-IL"/>
        </w:rPr>
        <w:t>sectionally and over time</w:t>
      </w:r>
      <w:r w:rsidR="00470577">
        <w:rPr>
          <w:rFonts w:asciiTheme="majorBidi" w:hAnsiTheme="majorBidi" w:cstheme="majorBidi"/>
          <w:color w:val="000000"/>
          <w:lang w:bidi="he-IL"/>
        </w:rPr>
        <w:t>,</w:t>
      </w:r>
      <w:r>
        <w:rPr>
          <w:rFonts w:asciiTheme="majorBidi" w:hAnsiTheme="majorBidi" w:cstheme="majorBidi"/>
          <w:color w:val="000000"/>
          <w:lang w:bidi="he-IL"/>
        </w:rPr>
        <w:t xml:space="preserve"> which may explain why some analysts react to non-earnings information whereas other analysts do not.</w:t>
      </w:r>
    </w:p>
    <w:p w:rsidR="004D1EAE" w:rsidRDefault="004D1EAE" w:rsidP="004D1EAE">
      <w:pPr>
        <w:autoSpaceDE w:val="0"/>
        <w:autoSpaceDN w:val="0"/>
        <w:adjustRightInd w:val="0"/>
        <w:spacing w:line="480" w:lineRule="auto"/>
        <w:ind w:firstLine="720"/>
        <w:jc w:val="both"/>
        <w:rPr>
          <w:rFonts w:asciiTheme="majorBidi" w:hAnsiTheme="majorBidi" w:cstheme="majorBidi"/>
          <w:color w:val="000000"/>
          <w:lang w:bidi="he-IL"/>
        </w:rPr>
      </w:pPr>
      <w:r w:rsidRPr="002E3E99">
        <w:rPr>
          <w:rFonts w:asciiTheme="majorBidi" w:hAnsiTheme="majorBidi" w:cstheme="majorBidi"/>
          <w:color w:val="000000"/>
          <w:lang w:bidi="he-IL"/>
        </w:rPr>
        <w:t>For this study, since we analyze non-earnings 8-K releases, the implication of differences in skills imply</w:t>
      </w:r>
      <w:r w:rsidRPr="008B6492">
        <w:rPr>
          <w:rFonts w:asciiTheme="majorBidi" w:hAnsiTheme="majorBidi" w:cstheme="majorBidi"/>
          <w:color w:val="000000"/>
          <w:lang w:bidi="he-IL"/>
        </w:rPr>
        <w:t xml:space="preserve"> that prompt </w:t>
      </w:r>
      <w:r>
        <w:rPr>
          <w:rFonts w:asciiTheme="majorBidi" w:hAnsiTheme="majorBidi" w:cstheme="majorBidi"/>
          <w:color w:val="000000"/>
          <w:lang w:bidi="he-IL"/>
        </w:rPr>
        <w:t xml:space="preserve">forecast </w:t>
      </w:r>
      <w:r w:rsidRPr="008B6492">
        <w:rPr>
          <w:rFonts w:asciiTheme="majorBidi" w:hAnsiTheme="majorBidi" w:cstheme="majorBidi"/>
          <w:color w:val="000000"/>
          <w:lang w:bidi="he-IL"/>
        </w:rPr>
        <w:t xml:space="preserve">revisions following these releases are informative because only the skillful analysts are able to process the information and understand how it affects </w:t>
      </w:r>
      <w:r>
        <w:rPr>
          <w:rFonts w:asciiTheme="majorBidi" w:hAnsiTheme="majorBidi" w:cstheme="majorBidi"/>
          <w:color w:val="000000"/>
          <w:lang w:bidi="he-IL"/>
        </w:rPr>
        <w:t xml:space="preserve">future </w:t>
      </w:r>
      <w:r w:rsidRPr="008B6492">
        <w:rPr>
          <w:rFonts w:asciiTheme="majorBidi" w:hAnsiTheme="majorBidi" w:cstheme="majorBidi"/>
          <w:color w:val="000000"/>
          <w:lang w:bidi="he-IL"/>
        </w:rPr>
        <w:t xml:space="preserve">earnings. Hence, according to this view, </w:t>
      </w:r>
      <w:r>
        <w:rPr>
          <w:rFonts w:asciiTheme="majorBidi" w:hAnsiTheme="majorBidi" w:cstheme="majorBidi"/>
          <w:color w:val="000000"/>
          <w:lang w:bidi="he-IL"/>
        </w:rPr>
        <w:t>analysts</w:t>
      </w:r>
      <w:r w:rsidRPr="008B6492">
        <w:rPr>
          <w:rFonts w:asciiTheme="majorBidi" w:hAnsiTheme="majorBidi" w:cstheme="majorBidi"/>
          <w:color w:val="000000"/>
          <w:lang w:bidi="he-IL"/>
        </w:rPr>
        <w:t xml:space="preserve"> who revise forecasts following non-earnings </w:t>
      </w:r>
      <w:r>
        <w:rPr>
          <w:rFonts w:asciiTheme="majorBidi" w:hAnsiTheme="majorBidi" w:cstheme="majorBidi"/>
          <w:color w:val="000000"/>
          <w:lang w:bidi="he-IL"/>
        </w:rPr>
        <w:t>8-K</w:t>
      </w:r>
      <w:r w:rsidRPr="008B6492">
        <w:rPr>
          <w:rFonts w:asciiTheme="majorBidi" w:hAnsiTheme="majorBidi" w:cstheme="majorBidi"/>
          <w:color w:val="000000"/>
          <w:lang w:bidi="he-IL"/>
        </w:rPr>
        <w:t xml:space="preserve"> are more skillful than other analysts, who do not revise forecast</w:t>
      </w:r>
      <w:r>
        <w:rPr>
          <w:rFonts w:asciiTheme="majorBidi" w:hAnsiTheme="majorBidi" w:cstheme="majorBidi"/>
          <w:color w:val="000000"/>
          <w:lang w:bidi="he-IL"/>
        </w:rPr>
        <w:t>s</w:t>
      </w:r>
      <w:r w:rsidRPr="008B6492">
        <w:rPr>
          <w:rFonts w:asciiTheme="majorBidi" w:hAnsiTheme="majorBidi" w:cstheme="majorBidi"/>
          <w:color w:val="000000"/>
          <w:lang w:bidi="he-IL"/>
        </w:rPr>
        <w:t xml:space="preserve"> following these re</w:t>
      </w:r>
      <w:r>
        <w:rPr>
          <w:rFonts w:asciiTheme="majorBidi" w:hAnsiTheme="majorBidi" w:cstheme="majorBidi"/>
          <w:color w:val="000000"/>
          <w:lang w:bidi="he-IL"/>
        </w:rPr>
        <w:t>leases, and consequently reacting analysts are able to provide more accurate forecasts.</w:t>
      </w:r>
    </w:p>
    <w:p w:rsidR="004D1EAE" w:rsidRDefault="004D1EAE" w:rsidP="00021C1A">
      <w:pPr>
        <w:spacing w:line="480" w:lineRule="auto"/>
        <w:jc w:val="both"/>
        <w:rPr>
          <w:rFonts w:asciiTheme="majorBidi" w:hAnsiTheme="majorBidi" w:cstheme="majorBidi"/>
        </w:rPr>
      </w:pPr>
      <w:r>
        <w:rPr>
          <w:rFonts w:asciiTheme="majorBidi" w:hAnsiTheme="majorBidi" w:cstheme="majorBidi"/>
        </w:rPr>
        <w:tab/>
        <w:t xml:space="preserve">Alternatively, a reaction to non-earnings 8-K may not be related to skill but rather attributed to economic incentives faced by the analyst or to the overconfidence phenomenon. Specifically, </w:t>
      </w:r>
      <w:r w:rsidRPr="008B6492">
        <w:rPr>
          <w:rFonts w:asciiTheme="majorBidi" w:hAnsiTheme="majorBidi" w:cstheme="majorBidi"/>
        </w:rPr>
        <w:t xml:space="preserve">if analysts’ forecasts are </w:t>
      </w:r>
      <w:r>
        <w:rPr>
          <w:rFonts w:asciiTheme="majorBidi" w:hAnsiTheme="majorBidi" w:cstheme="majorBidi"/>
        </w:rPr>
        <w:t>affected</w:t>
      </w:r>
      <w:r w:rsidRPr="008B6492">
        <w:rPr>
          <w:rFonts w:asciiTheme="majorBidi" w:hAnsiTheme="majorBidi" w:cstheme="majorBidi"/>
        </w:rPr>
        <w:t xml:space="preserve"> by </w:t>
      </w:r>
      <w:r>
        <w:rPr>
          <w:rFonts w:asciiTheme="majorBidi" w:hAnsiTheme="majorBidi" w:cstheme="majorBidi"/>
        </w:rPr>
        <w:t>incentives</w:t>
      </w:r>
      <w:r w:rsidRPr="008B6492">
        <w:rPr>
          <w:rFonts w:asciiTheme="majorBidi" w:hAnsiTheme="majorBidi" w:cstheme="majorBidi"/>
        </w:rPr>
        <w:t xml:space="preserve"> to bias their forecasts</w:t>
      </w:r>
      <w:r>
        <w:rPr>
          <w:rFonts w:asciiTheme="majorBidi" w:hAnsiTheme="majorBidi" w:cstheme="majorBidi"/>
        </w:rPr>
        <w:t xml:space="preserve">, </w:t>
      </w:r>
      <w:r w:rsidRPr="008B6492">
        <w:rPr>
          <w:rFonts w:asciiTheme="majorBidi" w:hAnsiTheme="majorBidi" w:cstheme="majorBidi"/>
        </w:rPr>
        <w:t xml:space="preserve">a </w:t>
      </w:r>
      <w:r>
        <w:rPr>
          <w:rFonts w:asciiTheme="majorBidi" w:hAnsiTheme="majorBidi" w:cstheme="majorBidi"/>
        </w:rPr>
        <w:t>non-earnings 8-K</w:t>
      </w:r>
      <w:r w:rsidRPr="008B6492">
        <w:rPr>
          <w:rFonts w:asciiTheme="majorBidi" w:hAnsiTheme="majorBidi" w:cstheme="majorBidi"/>
        </w:rPr>
        <w:t xml:space="preserve"> release presents an opportunity to revise forecasts</w:t>
      </w:r>
      <w:r>
        <w:rPr>
          <w:rFonts w:asciiTheme="majorBidi" w:hAnsiTheme="majorBidi" w:cstheme="majorBidi"/>
        </w:rPr>
        <w:t>,</w:t>
      </w:r>
      <w:r w:rsidRPr="008B6492">
        <w:rPr>
          <w:rFonts w:asciiTheme="majorBidi" w:hAnsiTheme="majorBidi" w:cstheme="majorBidi"/>
        </w:rPr>
        <w:t xml:space="preserve"> </w:t>
      </w:r>
      <w:r w:rsidRPr="008B6492">
        <w:rPr>
          <w:rFonts w:asciiTheme="majorBidi" w:hAnsiTheme="majorBidi" w:cstheme="majorBidi"/>
          <w:color w:val="000000"/>
        </w:rPr>
        <w:t>even though these revisions are not informative</w:t>
      </w:r>
      <w:r>
        <w:rPr>
          <w:rFonts w:asciiTheme="majorBidi" w:hAnsiTheme="majorBidi" w:cstheme="majorBidi"/>
          <w:color w:val="000000"/>
        </w:rPr>
        <w:t xml:space="preserve"> of future earnings</w:t>
      </w:r>
      <w:r w:rsidR="00021C1A">
        <w:rPr>
          <w:rFonts w:asciiTheme="majorBidi" w:hAnsiTheme="majorBidi" w:cstheme="majorBidi"/>
          <w:color w:val="000000"/>
        </w:rPr>
        <w:t xml:space="preserve">. </w:t>
      </w:r>
      <w:r>
        <w:rPr>
          <w:rFonts w:asciiTheme="majorBidi" w:hAnsiTheme="majorBidi" w:cstheme="majorBidi"/>
          <w:color w:val="000000"/>
        </w:rPr>
        <w:t xml:space="preserve">For instance, </w:t>
      </w:r>
      <w:r w:rsidRPr="00F6242A">
        <w:rPr>
          <w:rFonts w:asciiTheme="majorBidi" w:hAnsiTheme="majorBidi" w:cstheme="majorBidi"/>
        </w:rPr>
        <w:t>when a firm releases news</w:t>
      </w:r>
      <w:r w:rsidR="00EE4B48">
        <w:rPr>
          <w:rFonts w:asciiTheme="majorBidi" w:hAnsiTheme="majorBidi" w:cstheme="majorBidi"/>
        </w:rPr>
        <w:t>,</w:t>
      </w:r>
      <w:r w:rsidRPr="00F6242A">
        <w:rPr>
          <w:rFonts w:asciiTheme="majorBidi" w:hAnsiTheme="majorBidi" w:cstheme="majorBidi"/>
        </w:rPr>
        <w:t xml:space="preserve"> it prefers that the market will view the news in a favorable man</w:t>
      </w:r>
      <w:r>
        <w:rPr>
          <w:rFonts w:asciiTheme="majorBidi" w:hAnsiTheme="majorBidi" w:cstheme="majorBidi"/>
        </w:rPr>
        <w:t>ne</w:t>
      </w:r>
      <w:r w:rsidRPr="00F6242A">
        <w:rPr>
          <w:rFonts w:asciiTheme="majorBidi" w:hAnsiTheme="majorBidi" w:cstheme="majorBidi"/>
        </w:rPr>
        <w:t>r. Hence, analysts m</w:t>
      </w:r>
      <w:r>
        <w:rPr>
          <w:rFonts w:asciiTheme="majorBidi" w:hAnsiTheme="majorBidi" w:cstheme="majorBidi"/>
        </w:rPr>
        <w:t>a</w:t>
      </w:r>
      <w:r w:rsidRPr="00F6242A">
        <w:rPr>
          <w:rFonts w:asciiTheme="majorBidi" w:hAnsiTheme="majorBidi" w:cstheme="majorBidi"/>
        </w:rPr>
        <w:t>y issue a biased-optimistic revision to either maintain a good stand with the company or</w:t>
      </w:r>
      <w:r w:rsidR="00EE4B48">
        <w:rPr>
          <w:rFonts w:asciiTheme="majorBidi" w:hAnsiTheme="majorBidi" w:cstheme="majorBidi"/>
        </w:rPr>
        <w:t>,</w:t>
      </w:r>
      <w:r w:rsidRPr="00F6242A">
        <w:rPr>
          <w:rFonts w:asciiTheme="majorBidi" w:hAnsiTheme="majorBidi" w:cstheme="majorBidi"/>
        </w:rPr>
        <w:t xml:space="preserve"> if no current relation exists, to gain future business opportunities from the company</w:t>
      </w:r>
      <w:r>
        <w:rPr>
          <w:rFonts w:asciiTheme="majorBidi" w:hAnsiTheme="majorBidi" w:cstheme="majorBidi"/>
        </w:rPr>
        <w:t>. In such case</w:t>
      </w:r>
      <w:r w:rsidR="00EE4B48">
        <w:rPr>
          <w:rFonts w:asciiTheme="majorBidi" w:hAnsiTheme="majorBidi" w:cstheme="majorBidi"/>
        </w:rPr>
        <w:t>s</w:t>
      </w:r>
      <w:r>
        <w:rPr>
          <w:rFonts w:asciiTheme="majorBidi" w:hAnsiTheme="majorBidi" w:cstheme="majorBidi"/>
        </w:rPr>
        <w:t xml:space="preserve">, </w:t>
      </w:r>
      <w:r w:rsidRPr="008B6492">
        <w:rPr>
          <w:rFonts w:asciiTheme="majorBidi" w:hAnsiTheme="majorBidi" w:cstheme="majorBidi"/>
        </w:rPr>
        <w:t>one expects that optimism bias will exist for forecast</w:t>
      </w:r>
      <w:r>
        <w:rPr>
          <w:rFonts w:asciiTheme="majorBidi" w:hAnsiTheme="majorBidi" w:cstheme="majorBidi"/>
        </w:rPr>
        <w:t>s</w:t>
      </w:r>
      <w:r w:rsidRPr="008B6492">
        <w:rPr>
          <w:rFonts w:asciiTheme="majorBidi" w:hAnsiTheme="majorBidi" w:cstheme="majorBidi"/>
        </w:rPr>
        <w:t xml:space="preserve"> made promptly after these releases.</w:t>
      </w:r>
    </w:p>
    <w:p w:rsidR="004D1EAE" w:rsidRDefault="004D1EAE" w:rsidP="00021C1A">
      <w:pPr>
        <w:spacing w:line="480" w:lineRule="auto"/>
        <w:ind w:firstLine="720"/>
        <w:jc w:val="both"/>
        <w:rPr>
          <w:rFonts w:asciiTheme="majorBidi" w:hAnsiTheme="majorBidi" w:cstheme="majorBidi"/>
        </w:rPr>
      </w:pPr>
      <w:r w:rsidRPr="008B6492">
        <w:rPr>
          <w:rFonts w:asciiTheme="majorBidi" w:hAnsiTheme="majorBidi" w:cstheme="majorBidi"/>
        </w:rPr>
        <w:lastRenderedPageBreak/>
        <w:t xml:space="preserve">A major reason for overconfidence is the bias in information processing, which </w:t>
      </w:r>
      <w:r>
        <w:rPr>
          <w:rFonts w:asciiTheme="majorBidi" w:hAnsiTheme="majorBidi" w:cstheme="majorBidi"/>
        </w:rPr>
        <w:t>suggests</w:t>
      </w:r>
      <w:r w:rsidRPr="008B6492">
        <w:rPr>
          <w:rFonts w:asciiTheme="majorBidi" w:hAnsiTheme="majorBidi" w:cstheme="majorBidi"/>
        </w:rPr>
        <w:t xml:space="preserve"> that </w:t>
      </w:r>
      <w:r>
        <w:rPr>
          <w:rFonts w:asciiTheme="majorBidi" w:hAnsiTheme="majorBidi" w:cstheme="majorBidi"/>
        </w:rPr>
        <w:t>analysts</w:t>
      </w:r>
      <w:r w:rsidRPr="008B6492">
        <w:rPr>
          <w:rFonts w:asciiTheme="majorBidi" w:hAnsiTheme="majorBidi" w:cstheme="majorBidi"/>
        </w:rPr>
        <w:t xml:space="preserve"> search their memories for relevant information and reach a preliminary conclusion. </w:t>
      </w:r>
      <w:r>
        <w:rPr>
          <w:rFonts w:asciiTheme="majorBidi" w:hAnsiTheme="majorBidi" w:cstheme="majorBidi"/>
        </w:rPr>
        <w:t xml:space="preserve">Once a preliminary conclusion is reached, analysts do not publish their conclusion (as </w:t>
      </w:r>
      <w:r w:rsidR="00021C1A">
        <w:rPr>
          <w:rFonts w:asciiTheme="majorBidi" w:hAnsiTheme="majorBidi" w:cstheme="majorBidi"/>
        </w:rPr>
        <w:t xml:space="preserve">they are aware that </w:t>
      </w:r>
      <w:r>
        <w:rPr>
          <w:rFonts w:asciiTheme="majorBidi" w:hAnsiTheme="majorBidi" w:cstheme="majorBidi"/>
        </w:rPr>
        <w:t>it is based on selective memory), but rather</w:t>
      </w:r>
      <w:r w:rsidRPr="008B6492">
        <w:rPr>
          <w:rFonts w:asciiTheme="majorBidi" w:hAnsiTheme="majorBidi" w:cstheme="majorBidi"/>
        </w:rPr>
        <w:t xml:space="preserve"> proceed to search selectively for more evidence confirming this initial conclusion at which time they release their opinion. </w:t>
      </w:r>
      <w:r>
        <w:rPr>
          <w:rFonts w:asciiTheme="majorBidi" w:hAnsiTheme="majorBidi" w:cstheme="majorBidi"/>
        </w:rPr>
        <w:t>It is therefore plausible that</w:t>
      </w:r>
      <w:r w:rsidRPr="008B6492">
        <w:rPr>
          <w:rFonts w:asciiTheme="majorBidi" w:hAnsiTheme="majorBidi" w:cstheme="majorBidi"/>
        </w:rPr>
        <w:t xml:space="preserve"> the arrival of new information (such as a </w:t>
      </w:r>
      <w:r>
        <w:rPr>
          <w:rFonts w:asciiTheme="majorBidi" w:hAnsiTheme="majorBidi" w:cstheme="majorBidi"/>
        </w:rPr>
        <w:t>non-earnings 8-K</w:t>
      </w:r>
      <w:r w:rsidRPr="008B6492">
        <w:rPr>
          <w:rFonts w:asciiTheme="majorBidi" w:hAnsiTheme="majorBidi" w:cstheme="majorBidi"/>
        </w:rPr>
        <w:t xml:space="preserve"> filing) triggers </w:t>
      </w:r>
      <w:r>
        <w:rPr>
          <w:rFonts w:asciiTheme="majorBidi" w:hAnsiTheme="majorBidi" w:cstheme="majorBidi"/>
        </w:rPr>
        <w:t xml:space="preserve">these </w:t>
      </w:r>
      <w:r w:rsidRPr="008B6492">
        <w:rPr>
          <w:rFonts w:asciiTheme="majorBidi" w:hAnsiTheme="majorBidi" w:cstheme="majorBidi"/>
        </w:rPr>
        <w:t>overconfident analysts to release the</w:t>
      </w:r>
      <w:r w:rsidR="00EF4A21">
        <w:rPr>
          <w:rFonts w:asciiTheme="majorBidi" w:hAnsiTheme="majorBidi" w:cstheme="majorBidi"/>
        </w:rPr>
        <w:t>ir preliminary</w:t>
      </w:r>
      <w:r w:rsidRPr="008B6492">
        <w:rPr>
          <w:rFonts w:asciiTheme="majorBidi" w:hAnsiTheme="majorBidi" w:cstheme="majorBidi"/>
        </w:rPr>
        <w:t xml:space="preserve"> conclusion. A variant of this idea applies to the simultaneous use of private and public information. Bloomfield et al. (2000) report experimental evidence that overconfident individuals are especially overconfident in their ability to interpret new data, and therefore, they tend to underperform when new information arrives in the market. </w:t>
      </w:r>
      <w:r>
        <w:rPr>
          <w:rFonts w:asciiTheme="majorBidi" w:hAnsiTheme="majorBidi" w:cstheme="majorBidi"/>
        </w:rPr>
        <w:t xml:space="preserve">This lends itself to the possibility that the release </w:t>
      </w:r>
      <w:r w:rsidR="00021C1A">
        <w:rPr>
          <w:rFonts w:asciiTheme="majorBidi" w:hAnsiTheme="majorBidi" w:cstheme="majorBidi"/>
        </w:rPr>
        <w:t xml:space="preserve">of </w:t>
      </w:r>
      <w:r>
        <w:rPr>
          <w:rFonts w:asciiTheme="majorBidi" w:hAnsiTheme="majorBidi" w:cstheme="majorBidi"/>
        </w:rPr>
        <w:t xml:space="preserve">non-earnings 8-K may lead overconfident analysts to issue new forecasts. </w:t>
      </w:r>
    </w:p>
    <w:p w:rsidR="004D1EAE" w:rsidRPr="008B6492" w:rsidRDefault="004D1EAE" w:rsidP="00A47E53">
      <w:pPr>
        <w:spacing w:line="480" w:lineRule="auto"/>
        <w:jc w:val="both"/>
        <w:rPr>
          <w:rFonts w:asciiTheme="majorBidi" w:hAnsiTheme="majorBidi" w:cstheme="majorBidi"/>
        </w:rPr>
      </w:pPr>
      <w:r>
        <w:rPr>
          <w:rFonts w:asciiTheme="majorBidi" w:hAnsiTheme="majorBidi" w:cstheme="majorBidi"/>
        </w:rPr>
        <w:tab/>
        <w:t xml:space="preserve">Overall, </w:t>
      </w:r>
      <w:r w:rsidR="00021C1A">
        <w:rPr>
          <w:rFonts w:asciiTheme="majorBidi" w:hAnsiTheme="majorBidi" w:cstheme="majorBidi"/>
        </w:rPr>
        <w:t>our main conjecture is</w:t>
      </w:r>
      <w:r w:rsidRPr="008B6492">
        <w:rPr>
          <w:rFonts w:asciiTheme="majorBidi" w:hAnsiTheme="majorBidi" w:cstheme="majorBidi"/>
        </w:rPr>
        <w:t xml:space="preserve"> that analysts </w:t>
      </w:r>
      <w:r>
        <w:rPr>
          <w:rFonts w:asciiTheme="majorBidi" w:hAnsiTheme="majorBidi" w:cstheme="majorBidi"/>
        </w:rPr>
        <w:t>who</w:t>
      </w:r>
      <w:r w:rsidRPr="008B6492">
        <w:rPr>
          <w:rFonts w:asciiTheme="majorBidi" w:hAnsiTheme="majorBidi" w:cstheme="majorBidi"/>
        </w:rPr>
        <w:t xml:space="preserve"> react promptly to non-earnings </w:t>
      </w:r>
      <w:r>
        <w:rPr>
          <w:rFonts w:asciiTheme="majorBidi" w:hAnsiTheme="majorBidi" w:cstheme="majorBidi"/>
        </w:rPr>
        <w:t>8-K</w:t>
      </w:r>
      <w:r w:rsidRPr="008B6492">
        <w:rPr>
          <w:rFonts w:asciiTheme="majorBidi" w:hAnsiTheme="majorBidi" w:cstheme="majorBidi"/>
        </w:rPr>
        <w:t xml:space="preserve"> release </w:t>
      </w:r>
      <w:r>
        <w:rPr>
          <w:rFonts w:asciiTheme="majorBidi" w:hAnsiTheme="majorBidi" w:cstheme="majorBidi"/>
        </w:rPr>
        <w:t>have better skills</w:t>
      </w:r>
      <w:r w:rsidRPr="008B6492">
        <w:rPr>
          <w:rFonts w:asciiTheme="majorBidi" w:hAnsiTheme="majorBidi" w:cstheme="majorBidi"/>
        </w:rPr>
        <w:t xml:space="preserve">, and therefore </w:t>
      </w:r>
      <w:r>
        <w:rPr>
          <w:rFonts w:asciiTheme="majorBidi" w:hAnsiTheme="majorBidi" w:cstheme="majorBidi"/>
        </w:rPr>
        <w:t>are able to perform better than non-reacting analysts</w:t>
      </w:r>
      <w:r w:rsidRPr="008B6492">
        <w:rPr>
          <w:rFonts w:asciiTheme="majorBidi" w:hAnsiTheme="majorBidi" w:cstheme="majorBidi"/>
        </w:rPr>
        <w:t xml:space="preserve">. However, </w:t>
      </w:r>
      <w:r w:rsidR="00021C1A">
        <w:rPr>
          <w:rFonts w:asciiTheme="majorBidi" w:hAnsiTheme="majorBidi" w:cstheme="majorBidi"/>
        </w:rPr>
        <w:t xml:space="preserve">as the preceding paragraphs </w:t>
      </w:r>
      <w:r w:rsidR="00A47E53">
        <w:rPr>
          <w:rFonts w:asciiTheme="majorBidi" w:hAnsiTheme="majorBidi" w:cstheme="majorBidi"/>
        </w:rPr>
        <w:t>suggest</w:t>
      </w:r>
      <w:r w:rsidR="00021C1A">
        <w:rPr>
          <w:rFonts w:asciiTheme="majorBidi" w:hAnsiTheme="majorBidi" w:cstheme="majorBidi"/>
        </w:rPr>
        <w:t xml:space="preserve">, </w:t>
      </w:r>
      <w:r w:rsidR="00A47E53">
        <w:rPr>
          <w:rFonts w:asciiTheme="majorBidi" w:hAnsiTheme="majorBidi" w:cstheme="majorBidi"/>
        </w:rPr>
        <w:t>if</w:t>
      </w:r>
      <w:r w:rsidRPr="008B6492">
        <w:rPr>
          <w:rFonts w:asciiTheme="majorBidi" w:hAnsiTheme="majorBidi" w:cstheme="majorBidi"/>
        </w:rPr>
        <w:t xml:space="preserve"> </w:t>
      </w:r>
      <w:r w:rsidR="00A47E53">
        <w:rPr>
          <w:rFonts w:asciiTheme="majorBidi" w:hAnsiTheme="majorBidi" w:cstheme="majorBidi"/>
        </w:rPr>
        <w:t xml:space="preserve">the </w:t>
      </w:r>
      <w:r w:rsidR="001F017B">
        <w:rPr>
          <w:rFonts w:asciiTheme="majorBidi" w:hAnsiTheme="majorBidi" w:cstheme="majorBidi"/>
        </w:rPr>
        <w:t>filing o</w:t>
      </w:r>
      <w:r w:rsidR="00DB39B8">
        <w:rPr>
          <w:rFonts w:asciiTheme="majorBidi" w:hAnsiTheme="majorBidi" w:cstheme="majorBidi"/>
        </w:rPr>
        <w:t>f</w:t>
      </w:r>
      <w:r w:rsidR="001F017B">
        <w:rPr>
          <w:rFonts w:asciiTheme="majorBidi" w:hAnsiTheme="majorBidi" w:cstheme="majorBidi"/>
        </w:rPr>
        <w:t xml:space="preserve"> non-earnings 8-K provides </w:t>
      </w:r>
      <w:r w:rsidRPr="008B6492">
        <w:rPr>
          <w:rFonts w:asciiTheme="majorBidi" w:hAnsiTheme="majorBidi" w:cstheme="majorBidi"/>
        </w:rPr>
        <w:t xml:space="preserve">opportunity to intentionally (because of economic incentives) or unintentionally (because of overconfidence) misinform investors then </w:t>
      </w:r>
      <w:r w:rsidR="00A47E53">
        <w:rPr>
          <w:rFonts w:asciiTheme="majorBidi" w:hAnsiTheme="majorBidi" w:cstheme="majorBidi"/>
        </w:rPr>
        <w:t xml:space="preserve">we would </w:t>
      </w:r>
      <w:r w:rsidR="001F017B">
        <w:rPr>
          <w:rFonts w:asciiTheme="majorBidi" w:hAnsiTheme="majorBidi" w:cstheme="majorBidi"/>
        </w:rPr>
        <w:t xml:space="preserve">not </w:t>
      </w:r>
      <w:r w:rsidR="00A47E53">
        <w:rPr>
          <w:rFonts w:asciiTheme="majorBidi" w:hAnsiTheme="majorBidi" w:cstheme="majorBidi"/>
        </w:rPr>
        <w:t xml:space="preserve">find evidence that </w:t>
      </w:r>
      <w:r>
        <w:rPr>
          <w:rFonts w:asciiTheme="majorBidi" w:hAnsiTheme="majorBidi" w:cstheme="majorBidi"/>
        </w:rPr>
        <w:t>reaction to non-earnings information is associated with skill.</w:t>
      </w:r>
    </w:p>
    <w:p w:rsidR="00EB2D7E" w:rsidRDefault="00EB2D7E" w:rsidP="004A0E1D">
      <w:pPr>
        <w:spacing w:line="480" w:lineRule="auto"/>
        <w:rPr>
          <w:lang w:bidi="he-IL"/>
        </w:rPr>
      </w:pPr>
    </w:p>
    <w:p w:rsidR="006D7812" w:rsidRPr="0095091F" w:rsidRDefault="006D7812" w:rsidP="000C7E22">
      <w:pPr>
        <w:spacing w:line="480" w:lineRule="auto"/>
        <w:jc w:val="both"/>
        <w:rPr>
          <w:b/>
          <w:bCs/>
          <w:sz w:val="28"/>
          <w:szCs w:val="28"/>
          <w:lang w:val="en-CA"/>
        </w:rPr>
      </w:pPr>
      <w:r w:rsidRPr="0095091F">
        <w:rPr>
          <w:b/>
          <w:bCs/>
          <w:sz w:val="28"/>
          <w:szCs w:val="28"/>
          <w:lang w:val="en-CA"/>
        </w:rPr>
        <w:t>3. Data and Descriptive Statistics</w:t>
      </w:r>
    </w:p>
    <w:p w:rsidR="0053278F" w:rsidRDefault="006D7812" w:rsidP="000C7E22">
      <w:pPr>
        <w:widowControl w:val="0"/>
        <w:autoSpaceDE w:val="0"/>
        <w:autoSpaceDN w:val="0"/>
        <w:adjustRightInd w:val="0"/>
        <w:spacing w:after="240" w:line="480" w:lineRule="auto"/>
        <w:ind w:firstLine="567"/>
        <w:contextualSpacing/>
        <w:jc w:val="both"/>
        <w:rPr>
          <w:rFonts w:eastAsia="Times New Roman"/>
          <w:bCs/>
        </w:rPr>
      </w:pPr>
      <w:r>
        <w:rPr>
          <w:rFonts w:eastAsia="Times New Roman"/>
          <w:bCs/>
        </w:rPr>
        <w:t xml:space="preserve">We download and </w:t>
      </w:r>
      <w:r w:rsidRPr="00EA09DE">
        <w:rPr>
          <w:rFonts w:eastAsia="Times New Roman"/>
          <w:bCs/>
        </w:rPr>
        <w:t>analyz</w:t>
      </w:r>
      <w:r>
        <w:rPr>
          <w:rFonts w:eastAsia="Times New Roman"/>
          <w:bCs/>
        </w:rPr>
        <w:t>e</w:t>
      </w:r>
      <w:r w:rsidRPr="00EA09DE">
        <w:rPr>
          <w:rFonts w:eastAsia="Times New Roman"/>
          <w:bCs/>
        </w:rPr>
        <w:t xml:space="preserve"> the entire population</w:t>
      </w:r>
      <w:r w:rsidRPr="003C54C5">
        <w:rPr>
          <w:rFonts w:eastAsia="Times New Roman"/>
          <w:bCs/>
        </w:rPr>
        <w:t xml:space="preserve"> of 8-K </w:t>
      </w:r>
      <w:r>
        <w:rPr>
          <w:rFonts w:eastAsia="Times New Roman"/>
          <w:bCs/>
        </w:rPr>
        <w:t>F</w:t>
      </w:r>
      <w:r w:rsidRPr="003C54C5">
        <w:rPr>
          <w:rFonts w:eastAsia="Times New Roman"/>
          <w:bCs/>
        </w:rPr>
        <w:t xml:space="preserve">orms filed with the </w:t>
      </w:r>
      <w:r w:rsidRPr="003C54C5">
        <w:rPr>
          <w:rFonts w:eastAsia="Times New Roman"/>
          <w:bCs/>
        </w:rPr>
        <w:lastRenderedPageBreak/>
        <w:t>SEC via EDGAR between</w:t>
      </w:r>
      <w:r>
        <w:rPr>
          <w:rFonts w:eastAsia="Times New Roman"/>
          <w:bCs/>
        </w:rPr>
        <w:t xml:space="preserve"> the years</w:t>
      </w:r>
      <w:r w:rsidRPr="003C54C5">
        <w:rPr>
          <w:rFonts w:eastAsia="Times New Roman"/>
          <w:bCs/>
        </w:rPr>
        <w:t xml:space="preserve"> </w:t>
      </w:r>
      <w:r>
        <w:rPr>
          <w:rFonts w:eastAsia="Times New Roman"/>
          <w:bCs/>
        </w:rPr>
        <w:t xml:space="preserve">2005 and </w:t>
      </w:r>
      <w:r w:rsidRPr="003C54C5">
        <w:rPr>
          <w:rFonts w:eastAsia="Times New Roman"/>
          <w:bCs/>
        </w:rPr>
        <w:t>20</w:t>
      </w:r>
      <w:r>
        <w:rPr>
          <w:rFonts w:eastAsia="Times New Roman"/>
          <w:bCs/>
        </w:rPr>
        <w:t>1</w:t>
      </w:r>
      <w:r w:rsidR="008F6E42">
        <w:rPr>
          <w:rFonts w:eastAsia="Times New Roman"/>
          <w:bCs/>
        </w:rPr>
        <w:t>0</w:t>
      </w:r>
      <w:r>
        <w:rPr>
          <w:rFonts w:eastAsia="Times New Roman"/>
          <w:bCs/>
        </w:rPr>
        <w:t>.</w:t>
      </w:r>
      <w:r>
        <w:rPr>
          <w:rStyle w:val="FootnoteReference"/>
          <w:rFonts w:eastAsia="Times New Roman"/>
          <w:bCs/>
        </w:rPr>
        <w:footnoteReference w:id="6"/>
      </w:r>
      <w:r>
        <w:rPr>
          <w:rFonts w:eastAsia="Times New Roman"/>
          <w:bCs/>
        </w:rPr>
        <w:t xml:space="preserve"> F</w:t>
      </w:r>
      <w:r w:rsidR="00DB39B8">
        <w:rPr>
          <w:rFonts w:eastAsia="Times New Roman"/>
          <w:bCs/>
        </w:rPr>
        <w:t>or</w:t>
      </w:r>
      <w:r>
        <w:rPr>
          <w:rFonts w:eastAsia="Times New Roman"/>
          <w:bCs/>
        </w:rPr>
        <w:t xml:space="preserve"> </w:t>
      </w:r>
      <w:r w:rsidRPr="003C54C5">
        <w:rPr>
          <w:rFonts w:eastAsia="Times New Roman"/>
          <w:bCs/>
        </w:rPr>
        <w:t xml:space="preserve">each </w:t>
      </w:r>
      <w:r w:rsidR="00DB39B8">
        <w:rPr>
          <w:rFonts w:eastAsia="Times New Roman"/>
          <w:bCs/>
        </w:rPr>
        <w:t>8-K filing</w:t>
      </w:r>
      <w:r w:rsidRPr="003C54C5">
        <w:rPr>
          <w:rFonts w:eastAsia="Times New Roman"/>
          <w:bCs/>
        </w:rPr>
        <w:t xml:space="preserve"> </w:t>
      </w:r>
      <w:r>
        <w:rPr>
          <w:rFonts w:eastAsia="Times New Roman"/>
          <w:bCs/>
        </w:rPr>
        <w:t xml:space="preserve">we </w:t>
      </w:r>
      <w:r w:rsidRPr="003C54C5">
        <w:rPr>
          <w:rFonts w:eastAsia="Times New Roman"/>
          <w:bCs/>
        </w:rPr>
        <w:t xml:space="preserve">identify firm and report identifiers </w:t>
      </w:r>
      <w:r>
        <w:rPr>
          <w:rFonts w:eastAsia="Times New Roman"/>
          <w:bCs/>
        </w:rPr>
        <w:t xml:space="preserve">and a list of </w:t>
      </w:r>
      <w:r w:rsidRPr="003C54C5">
        <w:rPr>
          <w:rFonts w:eastAsia="Times New Roman"/>
          <w:bCs/>
        </w:rPr>
        <w:t xml:space="preserve">reported </w:t>
      </w:r>
      <w:r>
        <w:rPr>
          <w:rFonts w:eastAsia="Times New Roman"/>
          <w:bCs/>
        </w:rPr>
        <w:t>i</w:t>
      </w:r>
      <w:r w:rsidRPr="003C54C5">
        <w:rPr>
          <w:rFonts w:eastAsia="Times New Roman"/>
          <w:bCs/>
        </w:rPr>
        <w:t>tems</w:t>
      </w:r>
      <w:r>
        <w:rPr>
          <w:rFonts w:eastAsia="Times New Roman"/>
          <w:bCs/>
        </w:rPr>
        <w:t>.</w:t>
      </w:r>
      <w:r w:rsidRPr="003C54C5">
        <w:rPr>
          <w:rFonts w:eastAsia="Times New Roman"/>
          <w:bCs/>
        </w:rPr>
        <w:t xml:space="preserve"> </w:t>
      </w:r>
      <w:r>
        <w:rPr>
          <w:rFonts w:eastAsia="Times New Roman"/>
          <w:bCs/>
        </w:rPr>
        <w:t xml:space="preserve">The initial sample consists of </w:t>
      </w:r>
      <w:r w:rsidR="008F6E42">
        <w:rPr>
          <w:rFonts w:eastAsia="Times New Roman"/>
          <w:bCs/>
        </w:rPr>
        <w:t>390,791</w:t>
      </w:r>
      <w:r w:rsidR="00347580">
        <w:rPr>
          <w:rFonts w:eastAsia="Times New Roman"/>
          <w:bCs/>
        </w:rPr>
        <w:t xml:space="preserve"> </w:t>
      </w:r>
      <w:r>
        <w:rPr>
          <w:rFonts w:eastAsia="Times New Roman"/>
          <w:bCs/>
        </w:rPr>
        <w:t xml:space="preserve">8-K reports with firm identifier, filing and event dates, </w:t>
      </w:r>
      <w:r w:rsidR="000F523D">
        <w:rPr>
          <w:rFonts w:eastAsia="Times New Roman"/>
          <w:bCs/>
        </w:rPr>
        <w:t xml:space="preserve">and </w:t>
      </w:r>
      <w:r>
        <w:rPr>
          <w:rFonts w:eastAsia="Times New Roman"/>
          <w:bCs/>
        </w:rPr>
        <w:t xml:space="preserve">items reported. </w:t>
      </w:r>
      <w:r w:rsidR="00BE64DC">
        <w:rPr>
          <w:rFonts w:eastAsia="Times New Roman"/>
          <w:bCs/>
        </w:rPr>
        <w:t xml:space="preserve">We drop all forms of firms that do not have Compustat or CRSP </w:t>
      </w:r>
      <w:r w:rsidR="008918F8">
        <w:rPr>
          <w:rFonts w:eastAsia="Times New Roman"/>
          <w:bCs/>
        </w:rPr>
        <w:t>identifier</w:t>
      </w:r>
      <w:r w:rsidR="00EF4A21">
        <w:rPr>
          <w:rFonts w:eastAsia="Times New Roman"/>
          <w:bCs/>
        </w:rPr>
        <w:t>,</w:t>
      </w:r>
      <w:r w:rsidR="00BE64DC">
        <w:rPr>
          <w:rFonts w:eastAsia="Times New Roman"/>
          <w:bCs/>
        </w:rPr>
        <w:t xml:space="preserve"> reducing the sample to </w:t>
      </w:r>
      <w:r w:rsidR="008F6E42">
        <w:rPr>
          <w:rFonts w:eastAsia="Times New Roman"/>
          <w:bCs/>
        </w:rPr>
        <w:t>266,103</w:t>
      </w:r>
      <w:r w:rsidR="00BE64DC">
        <w:rPr>
          <w:rFonts w:eastAsia="Times New Roman"/>
          <w:bCs/>
        </w:rPr>
        <w:t xml:space="preserve"> forms. </w:t>
      </w:r>
      <w:r w:rsidR="00D54063">
        <w:rPr>
          <w:rFonts w:eastAsia="Times New Roman"/>
          <w:bCs/>
        </w:rPr>
        <w:t xml:space="preserve">We remove amendments to </w:t>
      </w:r>
      <w:r w:rsidR="000F523D">
        <w:rPr>
          <w:rFonts w:eastAsia="Times New Roman"/>
          <w:bCs/>
        </w:rPr>
        <w:br/>
      </w:r>
      <w:r w:rsidR="00D54063">
        <w:rPr>
          <w:rFonts w:eastAsia="Times New Roman"/>
          <w:bCs/>
        </w:rPr>
        <w:t>8-K (</w:t>
      </w:r>
      <w:r w:rsidR="008F6E42">
        <w:rPr>
          <w:rFonts w:eastAsia="Times New Roman"/>
          <w:bCs/>
        </w:rPr>
        <w:t>5,852</w:t>
      </w:r>
      <w:r w:rsidR="00D54063">
        <w:rPr>
          <w:rFonts w:eastAsia="Times New Roman"/>
          <w:bCs/>
        </w:rPr>
        <w:t xml:space="preserve"> reports), </w:t>
      </w:r>
      <w:r w:rsidR="000F523D">
        <w:rPr>
          <w:rFonts w:eastAsia="Times New Roman"/>
          <w:bCs/>
        </w:rPr>
        <w:t xml:space="preserve">8-K forms </w:t>
      </w:r>
      <w:r w:rsidR="00D54063">
        <w:rPr>
          <w:rFonts w:eastAsia="Times New Roman"/>
          <w:bCs/>
        </w:rPr>
        <w:t>where a firm filed multiple 8-K reports in a single day (</w:t>
      </w:r>
      <w:r w:rsidR="008F6E42">
        <w:rPr>
          <w:rFonts w:eastAsia="Times New Roman"/>
          <w:bCs/>
        </w:rPr>
        <w:t>11,330</w:t>
      </w:r>
      <w:r w:rsidR="00D54063">
        <w:rPr>
          <w:rFonts w:eastAsia="Times New Roman"/>
          <w:bCs/>
        </w:rPr>
        <w:t xml:space="preserve"> reports), </w:t>
      </w:r>
      <w:r w:rsidR="000F523D">
        <w:rPr>
          <w:rFonts w:eastAsia="Times New Roman"/>
          <w:bCs/>
        </w:rPr>
        <w:t xml:space="preserve">and </w:t>
      </w:r>
      <w:r w:rsidR="00D54063">
        <w:rPr>
          <w:rFonts w:eastAsia="Times New Roman"/>
          <w:bCs/>
        </w:rPr>
        <w:t xml:space="preserve">cases where a firm filed </w:t>
      </w:r>
      <w:r w:rsidR="00CA3CD1">
        <w:rPr>
          <w:rFonts w:eastAsia="Times New Roman"/>
          <w:bCs/>
        </w:rPr>
        <w:t xml:space="preserve">multiple </w:t>
      </w:r>
      <w:r w:rsidR="00D54063">
        <w:rPr>
          <w:rFonts w:eastAsia="Times New Roman"/>
          <w:bCs/>
        </w:rPr>
        <w:t>8-K report</w:t>
      </w:r>
      <w:r w:rsidR="00B12F1E">
        <w:rPr>
          <w:rFonts w:eastAsia="Times New Roman"/>
          <w:bCs/>
        </w:rPr>
        <w:t>s</w:t>
      </w:r>
      <w:r w:rsidR="00D54063">
        <w:rPr>
          <w:rFonts w:eastAsia="Times New Roman"/>
          <w:bCs/>
        </w:rPr>
        <w:t xml:space="preserve"> </w:t>
      </w:r>
      <w:r w:rsidR="00B12F1E">
        <w:rPr>
          <w:rFonts w:eastAsia="Times New Roman"/>
          <w:bCs/>
        </w:rPr>
        <w:t xml:space="preserve">within </w:t>
      </w:r>
      <w:r w:rsidR="00436B09">
        <w:rPr>
          <w:rFonts w:eastAsia="Times New Roman"/>
          <w:bCs/>
        </w:rPr>
        <w:t>three</w:t>
      </w:r>
      <w:r w:rsidR="00B12F1E">
        <w:rPr>
          <w:rFonts w:eastAsia="Times New Roman"/>
          <w:bCs/>
        </w:rPr>
        <w:t xml:space="preserve"> subsequent days </w:t>
      </w:r>
      <w:r w:rsidR="00D54063">
        <w:rPr>
          <w:rFonts w:eastAsia="Times New Roman"/>
          <w:bCs/>
        </w:rPr>
        <w:t>(</w:t>
      </w:r>
      <w:r w:rsidR="008F6E42">
        <w:rPr>
          <w:rFonts w:eastAsia="Times New Roman"/>
          <w:bCs/>
        </w:rPr>
        <w:t>21,912</w:t>
      </w:r>
      <w:r w:rsidR="00AB2BCA">
        <w:rPr>
          <w:rFonts w:eastAsia="Times New Roman"/>
          <w:bCs/>
        </w:rPr>
        <w:t xml:space="preserve"> reports</w:t>
      </w:r>
      <w:r w:rsidR="00D54063">
        <w:rPr>
          <w:rFonts w:eastAsia="Times New Roman"/>
          <w:bCs/>
        </w:rPr>
        <w:t xml:space="preserve">). The latter two restrictions were imposed to allow for accurate </w:t>
      </w:r>
      <w:r w:rsidR="00B12F1E">
        <w:rPr>
          <w:rFonts w:eastAsia="Times New Roman"/>
          <w:bCs/>
        </w:rPr>
        <w:t xml:space="preserve">identification of </w:t>
      </w:r>
      <w:r w:rsidR="00EC332F">
        <w:rPr>
          <w:rFonts w:eastAsia="Times New Roman"/>
          <w:bCs/>
        </w:rPr>
        <w:t xml:space="preserve">analysts' reaction to </w:t>
      </w:r>
      <w:r w:rsidR="00B12F1E">
        <w:rPr>
          <w:rFonts w:eastAsia="Times New Roman"/>
          <w:bCs/>
        </w:rPr>
        <w:t xml:space="preserve">8-K reports. </w:t>
      </w:r>
      <w:r w:rsidR="008918F8">
        <w:rPr>
          <w:rFonts w:eastAsia="Times New Roman"/>
          <w:bCs/>
        </w:rPr>
        <w:t xml:space="preserve">We also remove 8-K </w:t>
      </w:r>
      <w:r w:rsidR="00580712">
        <w:rPr>
          <w:rFonts w:eastAsia="Times New Roman"/>
          <w:bCs/>
        </w:rPr>
        <w:t xml:space="preserve">reports </w:t>
      </w:r>
      <w:r w:rsidR="008918F8">
        <w:rPr>
          <w:rFonts w:eastAsia="Times New Roman"/>
          <w:bCs/>
        </w:rPr>
        <w:t xml:space="preserve">that were filed within </w:t>
      </w:r>
      <w:r w:rsidR="00436B09">
        <w:rPr>
          <w:rFonts w:eastAsia="Times New Roman"/>
          <w:bCs/>
        </w:rPr>
        <w:t>three</w:t>
      </w:r>
      <w:r w:rsidR="008918F8">
        <w:rPr>
          <w:rFonts w:eastAsia="Times New Roman"/>
          <w:bCs/>
        </w:rPr>
        <w:t xml:space="preserve"> days of </w:t>
      </w:r>
      <w:r w:rsidR="00EF4A21">
        <w:rPr>
          <w:rFonts w:eastAsia="Times New Roman"/>
          <w:bCs/>
        </w:rPr>
        <w:t xml:space="preserve">a </w:t>
      </w:r>
      <w:r w:rsidR="008918F8">
        <w:rPr>
          <w:rFonts w:eastAsia="Times New Roman"/>
          <w:bCs/>
        </w:rPr>
        <w:t>quarterly or annual report to mitigate the possibility that the analyst react</w:t>
      </w:r>
      <w:r w:rsidR="00580712">
        <w:rPr>
          <w:rFonts w:eastAsia="Times New Roman"/>
          <w:bCs/>
        </w:rPr>
        <w:t>ed</w:t>
      </w:r>
      <w:r w:rsidR="008918F8">
        <w:rPr>
          <w:rFonts w:eastAsia="Times New Roman"/>
          <w:bCs/>
        </w:rPr>
        <w:t xml:space="preserve"> to information not necessarily related to the information in the 8-K (6</w:t>
      </w:r>
      <w:r w:rsidR="00346766">
        <w:rPr>
          <w:rFonts w:eastAsia="Times New Roman"/>
          <w:bCs/>
        </w:rPr>
        <w:t>,</w:t>
      </w:r>
      <w:r w:rsidR="00BE036D">
        <w:rPr>
          <w:rFonts w:eastAsia="Times New Roman"/>
          <w:bCs/>
        </w:rPr>
        <w:t>019</w:t>
      </w:r>
      <w:r w:rsidR="008918F8">
        <w:rPr>
          <w:rFonts w:eastAsia="Times New Roman"/>
          <w:bCs/>
        </w:rPr>
        <w:t xml:space="preserve"> reports). </w:t>
      </w:r>
    </w:p>
    <w:p w:rsidR="00A74622" w:rsidRDefault="0053278F" w:rsidP="00F73119">
      <w:pPr>
        <w:widowControl w:val="0"/>
        <w:autoSpaceDE w:val="0"/>
        <w:autoSpaceDN w:val="0"/>
        <w:adjustRightInd w:val="0"/>
        <w:spacing w:after="240" w:line="480" w:lineRule="auto"/>
        <w:ind w:firstLine="567"/>
        <w:contextualSpacing/>
        <w:jc w:val="both"/>
        <w:rPr>
          <w:rFonts w:eastAsia="Times New Roman"/>
          <w:bCs/>
        </w:rPr>
      </w:pPr>
      <w:r>
        <w:rPr>
          <w:rFonts w:eastAsia="Times New Roman"/>
          <w:bCs/>
        </w:rPr>
        <w:t>F</w:t>
      </w:r>
      <w:r w:rsidRPr="00EA2701">
        <w:rPr>
          <w:rFonts w:eastAsia="Times New Roman"/>
          <w:bCs/>
        </w:rPr>
        <w:t xml:space="preserve">inancial data </w:t>
      </w:r>
      <w:r>
        <w:rPr>
          <w:rFonts w:eastAsia="Times New Roman"/>
          <w:bCs/>
        </w:rPr>
        <w:t xml:space="preserve">are obtained </w:t>
      </w:r>
      <w:r w:rsidRPr="00EA2701">
        <w:rPr>
          <w:rFonts w:eastAsia="Times New Roman"/>
          <w:bCs/>
        </w:rPr>
        <w:t>from Compustat and CRSP</w:t>
      </w:r>
      <w:r>
        <w:rPr>
          <w:rFonts w:eastAsia="Times New Roman"/>
          <w:bCs/>
        </w:rPr>
        <w:t xml:space="preserve">. Merging the 8-K data with Compustat and CRSP and requiring </w:t>
      </w:r>
      <w:r w:rsidR="00A74622">
        <w:rPr>
          <w:rFonts w:eastAsia="Times New Roman"/>
          <w:bCs/>
        </w:rPr>
        <w:t xml:space="preserve">non-missing </w:t>
      </w:r>
      <w:r>
        <w:rPr>
          <w:rFonts w:eastAsia="Times New Roman"/>
          <w:bCs/>
        </w:rPr>
        <w:t xml:space="preserve">values of </w:t>
      </w:r>
      <w:r w:rsidR="00A74622">
        <w:rPr>
          <w:rFonts w:eastAsia="Times New Roman"/>
          <w:bCs/>
        </w:rPr>
        <w:t>share price</w:t>
      </w:r>
      <w:r>
        <w:rPr>
          <w:rFonts w:eastAsia="Times New Roman"/>
          <w:bCs/>
        </w:rPr>
        <w:t>, profitability, leverage, equity return volatility</w:t>
      </w:r>
      <w:r w:rsidR="00EF4A21">
        <w:rPr>
          <w:rFonts w:eastAsia="Times New Roman"/>
          <w:bCs/>
        </w:rPr>
        <w:t>,</w:t>
      </w:r>
      <w:r>
        <w:rPr>
          <w:rFonts w:eastAsia="Times New Roman"/>
          <w:bCs/>
        </w:rPr>
        <w:t xml:space="preserve"> and book value of equity at the </w:t>
      </w:r>
      <w:r w:rsidR="006D377E">
        <w:rPr>
          <w:rFonts w:eastAsia="Times New Roman"/>
          <w:bCs/>
        </w:rPr>
        <w:t>beginning</w:t>
      </w:r>
      <w:r>
        <w:rPr>
          <w:rFonts w:eastAsia="Times New Roman"/>
          <w:bCs/>
        </w:rPr>
        <w:t xml:space="preserve"> of the fiscal year </w:t>
      </w:r>
      <w:r w:rsidR="00A74622">
        <w:rPr>
          <w:rFonts w:eastAsia="Times New Roman"/>
          <w:bCs/>
        </w:rPr>
        <w:t>further reduc</w:t>
      </w:r>
      <w:r>
        <w:rPr>
          <w:rFonts w:eastAsia="Times New Roman"/>
          <w:bCs/>
        </w:rPr>
        <w:t>es</w:t>
      </w:r>
      <w:r w:rsidR="00A74622">
        <w:rPr>
          <w:rFonts w:eastAsia="Times New Roman"/>
          <w:bCs/>
        </w:rPr>
        <w:t xml:space="preserve"> the 8-K sample to </w:t>
      </w:r>
      <w:r w:rsidR="00BE036D">
        <w:rPr>
          <w:rFonts w:eastAsia="Times New Roman"/>
          <w:bCs/>
        </w:rPr>
        <w:t>157,429</w:t>
      </w:r>
      <w:r w:rsidR="008918F8">
        <w:rPr>
          <w:rFonts w:eastAsia="Times New Roman"/>
          <w:bCs/>
        </w:rPr>
        <w:t>.</w:t>
      </w:r>
      <w:r w:rsidR="00B12F1E">
        <w:rPr>
          <w:rFonts w:eastAsia="Times New Roman"/>
          <w:bCs/>
        </w:rPr>
        <w:t xml:space="preserve"> </w:t>
      </w:r>
    </w:p>
    <w:p w:rsidR="0053278F" w:rsidRDefault="00A74622" w:rsidP="00F73119">
      <w:pPr>
        <w:widowControl w:val="0"/>
        <w:autoSpaceDE w:val="0"/>
        <w:autoSpaceDN w:val="0"/>
        <w:adjustRightInd w:val="0"/>
        <w:spacing w:after="240" w:line="480" w:lineRule="auto"/>
        <w:ind w:firstLine="567"/>
        <w:contextualSpacing/>
        <w:jc w:val="both"/>
        <w:rPr>
          <w:rFonts w:eastAsia="Times New Roman"/>
          <w:bCs/>
        </w:rPr>
      </w:pPr>
      <w:r>
        <w:rPr>
          <w:rFonts w:eastAsia="Times New Roman"/>
          <w:bCs/>
        </w:rPr>
        <w:t xml:space="preserve">Analyst related data is obtained from the detailed </w:t>
      </w:r>
      <w:r w:rsidR="008F6E42">
        <w:rPr>
          <w:rFonts w:eastAsia="Times New Roman"/>
          <w:bCs/>
        </w:rPr>
        <w:t>IBES file. We m</w:t>
      </w:r>
      <w:r>
        <w:rPr>
          <w:rFonts w:eastAsia="Times New Roman"/>
          <w:bCs/>
        </w:rPr>
        <w:t>erg</w:t>
      </w:r>
      <w:r w:rsidR="008F6E42">
        <w:rPr>
          <w:rFonts w:eastAsia="Times New Roman"/>
          <w:bCs/>
        </w:rPr>
        <w:t>e</w:t>
      </w:r>
      <w:r>
        <w:rPr>
          <w:rFonts w:eastAsia="Times New Roman"/>
          <w:bCs/>
        </w:rPr>
        <w:t xml:space="preserve"> the 8-K sample with </w:t>
      </w:r>
      <w:r w:rsidR="008F6E42">
        <w:rPr>
          <w:rFonts w:eastAsia="Times New Roman"/>
          <w:bCs/>
        </w:rPr>
        <w:t xml:space="preserve">the detailed </w:t>
      </w:r>
      <w:r>
        <w:rPr>
          <w:rFonts w:eastAsia="Times New Roman"/>
          <w:bCs/>
        </w:rPr>
        <w:t>IBES</w:t>
      </w:r>
      <w:r w:rsidR="008F6E42">
        <w:rPr>
          <w:rFonts w:eastAsia="Times New Roman"/>
          <w:bCs/>
        </w:rPr>
        <w:t xml:space="preserve"> file and require at least one forecast between the beginning of the fiscal year and </w:t>
      </w:r>
      <w:r w:rsidR="00436B09">
        <w:rPr>
          <w:rFonts w:eastAsia="Times New Roman"/>
          <w:bCs/>
        </w:rPr>
        <w:t>three</w:t>
      </w:r>
      <w:r w:rsidR="008F6E42">
        <w:rPr>
          <w:rFonts w:eastAsia="Times New Roman"/>
          <w:bCs/>
        </w:rPr>
        <w:t xml:space="preserve"> days after the filing date of the 8-K.</w:t>
      </w:r>
      <w:r w:rsidR="00CA3CD1">
        <w:rPr>
          <w:rFonts w:eastAsia="Times New Roman"/>
          <w:bCs/>
        </w:rPr>
        <w:t xml:space="preserve"> If no forecast is available during this period, the particular 8-K report is dropped from our analysis as we would not be able to analyze the</w:t>
      </w:r>
      <w:r w:rsidR="007346BA">
        <w:rPr>
          <w:rFonts w:eastAsia="Times New Roman"/>
          <w:bCs/>
        </w:rPr>
        <w:t xml:space="preserve"> analysts'</w:t>
      </w:r>
      <w:r w:rsidR="00CA3CD1">
        <w:rPr>
          <w:rFonts w:eastAsia="Times New Roman"/>
          <w:bCs/>
        </w:rPr>
        <w:t xml:space="preserve"> reaction (or lack of reaction) to the particular report.</w:t>
      </w:r>
      <w:r w:rsidR="008F6E42">
        <w:rPr>
          <w:rFonts w:eastAsia="Times New Roman"/>
          <w:bCs/>
        </w:rPr>
        <w:t xml:space="preserve"> </w:t>
      </w:r>
      <w:r w:rsidR="00F44B4C">
        <w:rPr>
          <w:rFonts w:eastAsia="Times New Roman"/>
          <w:bCs/>
        </w:rPr>
        <w:t>This restriction reduce</w:t>
      </w:r>
      <w:r w:rsidR="000F523D">
        <w:rPr>
          <w:rFonts w:eastAsia="Times New Roman"/>
          <w:bCs/>
        </w:rPr>
        <w:t>s</w:t>
      </w:r>
      <w:r w:rsidR="00F44B4C">
        <w:rPr>
          <w:rFonts w:eastAsia="Times New Roman"/>
          <w:bCs/>
        </w:rPr>
        <w:t xml:space="preserve"> the 8-K sample to 102,08</w:t>
      </w:r>
      <w:r w:rsidR="002D4A2C">
        <w:rPr>
          <w:rFonts w:eastAsia="Times New Roman"/>
          <w:bCs/>
        </w:rPr>
        <w:t>3</w:t>
      </w:r>
      <w:r w:rsidR="00F44B4C">
        <w:rPr>
          <w:rFonts w:eastAsia="Times New Roman"/>
          <w:bCs/>
        </w:rPr>
        <w:t xml:space="preserve"> forms filed by 3</w:t>
      </w:r>
      <w:r w:rsidR="0053278F">
        <w:rPr>
          <w:rFonts w:eastAsia="Times New Roman"/>
          <w:bCs/>
        </w:rPr>
        <w:t>,</w:t>
      </w:r>
      <w:r w:rsidR="00F44B4C">
        <w:rPr>
          <w:rFonts w:eastAsia="Times New Roman"/>
          <w:bCs/>
        </w:rPr>
        <w:t xml:space="preserve">326 </w:t>
      </w:r>
      <w:r w:rsidR="0053278F">
        <w:rPr>
          <w:rFonts w:eastAsia="Times New Roman"/>
          <w:bCs/>
        </w:rPr>
        <w:t xml:space="preserve">(13,622) </w:t>
      </w:r>
      <w:r w:rsidR="00F44B4C">
        <w:rPr>
          <w:rFonts w:eastAsia="Times New Roman"/>
          <w:bCs/>
        </w:rPr>
        <w:t>firms</w:t>
      </w:r>
      <w:r w:rsidR="0053278F">
        <w:rPr>
          <w:rFonts w:eastAsia="Times New Roman"/>
          <w:bCs/>
        </w:rPr>
        <w:t xml:space="preserve"> (firm-years).</w:t>
      </w:r>
    </w:p>
    <w:p w:rsidR="00D54063" w:rsidRDefault="0053278F" w:rsidP="00F73119">
      <w:pPr>
        <w:widowControl w:val="0"/>
        <w:autoSpaceDE w:val="0"/>
        <w:autoSpaceDN w:val="0"/>
        <w:adjustRightInd w:val="0"/>
        <w:spacing w:after="240" w:line="480" w:lineRule="auto"/>
        <w:ind w:firstLine="567"/>
        <w:contextualSpacing/>
        <w:jc w:val="both"/>
        <w:rPr>
          <w:rFonts w:eastAsia="Times New Roman"/>
          <w:bCs/>
        </w:rPr>
      </w:pPr>
      <w:r>
        <w:rPr>
          <w:rFonts w:eastAsia="Times New Roman"/>
          <w:bCs/>
        </w:rPr>
        <w:lastRenderedPageBreak/>
        <w:t xml:space="preserve">Table 1 provides firm-year descriptive statistics of the main variables used in the analysis. </w:t>
      </w:r>
      <w:r w:rsidR="00732848">
        <w:t xml:space="preserve">The sample firms are skewed in terms of size: </w:t>
      </w:r>
      <w:r w:rsidR="00732848" w:rsidRPr="00844528">
        <w:t>mean (median) equity value is $</w:t>
      </w:r>
      <w:r w:rsidR="00732848">
        <w:t>4.44</w:t>
      </w:r>
      <w:r w:rsidR="00732848" w:rsidRPr="00844528">
        <w:t xml:space="preserve"> billion ($</w:t>
      </w:r>
      <w:r w:rsidR="00732848">
        <w:t>691</w:t>
      </w:r>
      <w:r w:rsidR="00732848" w:rsidRPr="00844528">
        <w:t xml:space="preserve"> </w:t>
      </w:r>
      <w:r w:rsidR="00732848">
        <w:t>m</w:t>
      </w:r>
      <w:r w:rsidR="00732848" w:rsidRPr="00844528">
        <w:t xml:space="preserve">illion). </w:t>
      </w:r>
      <w:r w:rsidR="00732848">
        <w:t>M</w:t>
      </w:r>
      <w:r w:rsidR="00732848" w:rsidRPr="00844528">
        <w:t xml:space="preserve">ean </w:t>
      </w:r>
      <w:r w:rsidR="00732848">
        <w:t>book-to-</w:t>
      </w:r>
      <w:r w:rsidR="00732848" w:rsidRPr="00844528">
        <w:t xml:space="preserve">market is </w:t>
      </w:r>
      <w:r w:rsidR="00732848">
        <w:t>0.53</w:t>
      </w:r>
      <w:r w:rsidR="00732848" w:rsidRPr="00844528">
        <w:t xml:space="preserve">, and mean equity return volatility is </w:t>
      </w:r>
      <w:r w:rsidR="00CA3CD1">
        <w:t>3.2%</w:t>
      </w:r>
      <w:r w:rsidR="00732848" w:rsidRPr="00844528">
        <w:t xml:space="preserve">. </w:t>
      </w:r>
      <w:r w:rsidR="00732848">
        <w:t>Mean</w:t>
      </w:r>
      <w:r w:rsidR="00732848" w:rsidRPr="00844528">
        <w:t xml:space="preserve"> return on assets </w:t>
      </w:r>
      <w:r w:rsidR="00732848">
        <w:t>is</w:t>
      </w:r>
      <w:r w:rsidR="00732848" w:rsidRPr="00844528">
        <w:t xml:space="preserve"> </w:t>
      </w:r>
      <w:r w:rsidR="00732848">
        <w:t>close to zero but the median is 4.1%. B</w:t>
      </w:r>
      <w:r w:rsidR="00732848" w:rsidRPr="00844528">
        <w:t xml:space="preserve">ook leverage is on average 20%. </w:t>
      </w:r>
      <w:r w:rsidR="00732848">
        <w:t>Mean institutional ownership by large block holders 21.8%.</w:t>
      </w:r>
      <w:r w:rsidR="00732848" w:rsidRPr="00844528">
        <w:t xml:space="preserve">  </w:t>
      </w:r>
      <w:r w:rsidR="00732848">
        <w:t xml:space="preserve">Analysts in our sample provide on average 2.78 </w:t>
      </w:r>
      <w:r w:rsidR="00605E7E">
        <w:t>forecasts (</w:t>
      </w:r>
      <w:r w:rsidR="00605E7E">
        <w:rPr>
          <w:bCs/>
          <w:lang w:val="en-CA"/>
        </w:rPr>
        <w:t>annual fiscal period earnings</w:t>
      </w:r>
      <w:r w:rsidR="00347580">
        <w:t>) in a given year</w:t>
      </w:r>
      <w:r w:rsidR="00EC332F">
        <w:t xml:space="preserve"> (either new forecast or a revision),</w:t>
      </w:r>
      <w:r w:rsidR="000F523D">
        <w:t xml:space="preserve"> </w:t>
      </w:r>
      <w:r w:rsidR="00732848">
        <w:t xml:space="preserve">and the mean number of analysts following </w:t>
      </w:r>
      <w:r w:rsidR="00EC332F">
        <w:t xml:space="preserve">a firm </w:t>
      </w:r>
      <w:r w:rsidR="007346BA">
        <w:t>in a given year</w:t>
      </w:r>
      <w:r w:rsidR="00347580">
        <w:t xml:space="preserve"> </w:t>
      </w:r>
      <w:r w:rsidR="00732848">
        <w:t>is 9.78.</w:t>
      </w:r>
    </w:p>
    <w:p w:rsidR="00BE64DC" w:rsidRDefault="00BE64DC" w:rsidP="00F73119">
      <w:pPr>
        <w:widowControl w:val="0"/>
        <w:autoSpaceDE w:val="0"/>
        <w:autoSpaceDN w:val="0"/>
        <w:adjustRightInd w:val="0"/>
        <w:spacing w:after="240" w:line="480" w:lineRule="auto"/>
        <w:ind w:firstLine="567"/>
        <w:contextualSpacing/>
        <w:jc w:val="both"/>
        <w:rPr>
          <w:rFonts w:eastAsia="Times New Roman"/>
          <w:bCs/>
        </w:rPr>
      </w:pPr>
    </w:p>
    <w:p w:rsidR="000A6C6D" w:rsidRPr="001A2A87" w:rsidRDefault="000A6C6D" w:rsidP="00F73119">
      <w:pPr>
        <w:spacing w:line="480" w:lineRule="auto"/>
        <w:jc w:val="both"/>
        <w:rPr>
          <w:b/>
          <w:bCs/>
          <w:sz w:val="28"/>
          <w:szCs w:val="28"/>
          <w:lang w:val="en-CA"/>
        </w:rPr>
      </w:pPr>
      <w:r w:rsidRPr="001A2A87">
        <w:rPr>
          <w:b/>
          <w:bCs/>
          <w:sz w:val="28"/>
          <w:szCs w:val="28"/>
          <w:lang w:val="en-CA"/>
        </w:rPr>
        <w:t xml:space="preserve">4. </w:t>
      </w:r>
      <w:r w:rsidR="004A0E1D">
        <w:rPr>
          <w:b/>
          <w:bCs/>
          <w:sz w:val="28"/>
          <w:szCs w:val="28"/>
          <w:lang w:val="en-CA"/>
        </w:rPr>
        <w:t>Results</w:t>
      </w:r>
    </w:p>
    <w:p w:rsidR="000A6C6D" w:rsidRDefault="00A8753E" w:rsidP="00A8753E">
      <w:pPr>
        <w:keepNext/>
        <w:keepLines/>
        <w:spacing w:line="480" w:lineRule="auto"/>
        <w:ind w:firstLine="567"/>
        <w:jc w:val="both"/>
        <w:rPr>
          <w:color w:val="000000"/>
          <w:sz w:val="23"/>
          <w:szCs w:val="23"/>
        </w:rPr>
      </w:pPr>
      <w:r>
        <w:t>In Section 4.1 we</w:t>
      </w:r>
      <w:r w:rsidR="000A6C6D">
        <w:t xml:space="preserve"> </w:t>
      </w:r>
      <w:r>
        <w:t>compare</w:t>
      </w:r>
      <w:r w:rsidR="000A6C6D">
        <w:t xml:space="preserve"> the reaction to </w:t>
      </w:r>
      <w:r w:rsidR="00BC1AE7">
        <w:t xml:space="preserve">earnings 8-K form vs. non-earnings </w:t>
      </w:r>
      <w:r w:rsidR="002C6604">
        <w:t>8-K</w:t>
      </w:r>
      <w:r w:rsidR="00BC1AE7">
        <w:t xml:space="preserve"> form</w:t>
      </w:r>
      <w:r w:rsidR="000A6C6D">
        <w:t xml:space="preserve"> by analysts </w:t>
      </w:r>
      <w:r w:rsidR="00BC1AE7">
        <w:t xml:space="preserve">as well as </w:t>
      </w:r>
      <w:r w:rsidR="000A6C6D">
        <w:t xml:space="preserve">examine the determinants of reaction. </w:t>
      </w:r>
      <w:r w:rsidR="00E35F3A">
        <w:t>In Section 4.2 w</w:t>
      </w:r>
      <w:r w:rsidR="000A6C6D">
        <w:t xml:space="preserve">e examine whether the reaction to </w:t>
      </w:r>
      <w:r w:rsidR="00BC1AE7">
        <w:t xml:space="preserve">non-earnings </w:t>
      </w:r>
      <w:r w:rsidR="000A6C6D">
        <w:t>8-K form leads to lower forecast error</w:t>
      </w:r>
      <w:r w:rsidR="00712107">
        <w:t xml:space="preserve">, and in Section 4.3 </w:t>
      </w:r>
      <w:r w:rsidR="00102EC0">
        <w:t>we present the results of the re</w:t>
      </w:r>
      <w:r w:rsidR="00EF4A21">
        <w:t>la</w:t>
      </w:r>
      <w:r w:rsidR="00102EC0">
        <w:t>tion be</w:t>
      </w:r>
      <w:r w:rsidR="00EF4A21">
        <w:t>tw</w:t>
      </w:r>
      <w:r w:rsidR="00102EC0">
        <w:t>een reaction to non-earnings information as proxy for skill and future performance of the analyst</w:t>
      </w:r>
      <w:r w:rsidR="00436B09">
        <w:t>.</w:t>
      </w:r>
    </w:p>
    <w:p w:rsidR="000A6C6D" w:rsidRPr="00893CE7" w:rsidRDefault="000A6C6D" w:rsidP="00F73119">
      <w:pPr>
        <w:keepNext/>
        <w:keepLines/>
        <w:spacing w:line="480" w:lineRule="auto"/>
        <w:ind w:firstLine="567"/>
        <w:jc w:val="both"/>
        <w:rPr>
          <w:sz w:val="16"/>
          <w:szCs w:val="16"/>
        </w:rPr>
      </w:pPr>
    </w:p>
    <w:p w:rsidR="000A6C6D" w:rsidRPr="003929B3" w:rsidRDefault="000A6C6D" w:rsidP="00F73119">
      <w:pPr>
        <w:spacing w:line="480" w:lineRule="auto"/>
        <w:jc w:val="both"/>
        <w:rPr>
          <w:i/>
        </w:rPr>
      </w:pPr>
      <w:r w:rsidRPr="002964EF">
        <w:rPr>
          <w:i/>
        </w:rPr>
        <w:t xml:space="preserve">4.1 </w:t>
      </w:r>
      <w:r>
        <w:rPr>
          <w:i/>
        </w:rPr>
        <w:t>The Reaction to 8-K Report</w:t>
      </w:r>
    </w:p>
    <w:p w:rsidR="00F10E1F" w:rsidRDefault="00FF35A7" w:rsidP="00467F76">
      <w:pPr>
        <w:widowControl w:val="0"/>
        <w:autoSpaceDE w:val="0"/>
        <w:autoSpaceDN w:val="0"/>
        <w:adjustRightInd w:val="0"/>
        <w:spacing w:after="240" w:line="480" w:lineRule="auto"/>
        <w:ind w:firstLine="567"/>
        <w:contextualSpacing/>
        <w:jc w:val="both"/>
        <w:rPr>
          <w:rFonts w:eastAsia="Times New Roman"/>
          <w:bCs/>
        </w:rPr>
      </w:pPr>
      <w:r>
        <w:rPr>
          <w:rFonts w:eastAsia="Times New Roman"/>
          <w:bCs/>
        </w:rPr>
        <w:t xml:space="preserve">Table 2, Panel A shows descriptive statistics of the reaction variables. We use two measures of reaction: </w:t>
      </w:r>
      <w:r w:rsidR="005961B8">
        <w:rPr>
          <w:rFonts w:eastAsia="Times New Roman"/>
          <w:bCs/>
        </w:rPr>
        <w:t>one, the Reaction Ratio</w:t>
      </w:r>
      <w:r w:rsidR="00DB39B8">
        <w:rPr>
          <w:rFonts w:eastAsia="Times New Roman"/>
          <w:bCs/>
        </w:rPr>
        <w:t>,</w:t>
      </w:r>
      <w:r w:rsidR="005961B8">
        <w:rPr>
          <w:rFonts w:eastAsia="Times New Roman"/>
          <w:bCs/>
        </w:rPr>
        <w:t xml:space="preserve"> and two, the Likelihood of Reaction. The former is computed as the number of analysts who revised their forecast in the period from the event date until </w:t>
      </w:r>
      <w:r w:rsidR="00436B09">
        <w:rPr>
          <w:rFonts w:eastAsia="Times New Roman"/>
          <w:bCs/>
        </w:rPr>
        <w:t>three</w:t>
      </w:r>
      <w:r w:rsidR="005961B8">
        <w:rPr>
          <w:rFonts w:eastAsia="Times New Roman"/>
          <w:bCs/>
        </w:rPr>
        <w:t xml:space="preserve"> days after the filing date scaled by the number of analysts who follow the firm</w:t>
      </w:r>
      <w:r w:rsidR="008D4299">
        <w:rPr>
          <w:rFonts w:eastAsia="Times New Roman"/>
          <w:bCs/>
        </w:rPr>
        <w:t xml:space="preserve"> during the same period</w:t>
      </w:r>
      <w:r w:rsidR="005961B8">
        <w:rPr>
          <w:rFonts w:eastAsia="Times New Roman"/>
          <w:bCs/>
        </w:rPr>
        <w:t>.</w:t>
      </w:r>
      <w:r w:rsidR="0090011B">
        <w:rPr>
          <w:rStyle w:val="FootnoteReference"/>
          <w:rFonts w:eastAsia="Times New Roman"/>
          <w:bCs/>
        </w:rPr>
        <w:footnoteReference w:id="7"/>
      </w:r>
      <w:r w:rsidR="005961B8">
        <w:rPr>
          <w:rFonts w:eastAsia="Times New Roman"/>
          <w:bCs/>
        </w:rPr>
        <w:t xml:space="preserve"> The Likelihood of Reaction is an indicator variable tha</w:t>
      </w:r>
      <w:r w:rsidR="008D4299">
        <w:rPr>
          <w:rFonts w:eastAsia="Times New Roman"/>
          <w:bCs/>
        </w:rPr>
        <w:t xml:space="preserve">t takes the value of </w:t>
      </w:r>
      <w:r w:rsidR="00436B09">
        <w:rPr>
          <w:rFonts w:eastAsia="Times New Roman"/>
          <w:bCs/>
        </w:rPr>
        <w:t>1</w:t>
      </w:r>
      <w:r w:rsidR="008D4299">
        <w:rPr>
          <w:rFonts w:eastAsia="Times New Roman"/>
          <w:bCs/>
        </w:rPr>
        <w:t xml:space="preserve">if </w:t>
      </w:r>
      <w:r w:rsidR="00467F76">
        <w:rPr>
          <w:rFonts w:eastAsia="Times New Roman"/>
          <w:bCs/>
        </w:rPr>
        <w:t xml:space="preserve">at least one </w:t>
      </w:r>
      <w:r w:rsidR="005961B8">
        <w:rPr>
          <w:rFonts w:eastAsia="Times New Roman"/>
          <w:bCs/>
        </w:rPr>
        <w:t xml:space="preserve">analyst revised her forecast in the period from the event date until </w:t>
      </w:r>
      <w:r w:rsidR="00436B09">
        <w:rPr>
          <w:rFonts w:eastAsia="Times New Roman"/>
          <w:bCs/>
        </w:rPr>
        <w:t>three</w:t>
      </w:r>
      <w:r w:rsidR="005961B8">
        <w:rPr>
          <w:rFonts w:eastAsia="Times New Roman"/>
          <w:bCs/>
        </w:rPr>
        <w:t xml:space="preserve"> days after the </w:t>
      </w:r>
      <w:r w:rsidR="005961B8">
        <w:rPr>
          <w:rFonts w:eastAsia="Times New Roman"/>
          <w:bCs/>
        </w:rPr>
        <w:lastRenderedPageBreak/>
        <w:t xml:space="preserve">filing date, and </w:t>
      </w:r>
      <w:r w:rsidR="00436B09">
        <w:rPr>
          <w:rFonts w:eastAsia="Times New Roman"/>
          <w:bCs/>
        </w:rPr>
        <w:t>0</w:t>
      </w:r>
      <w:r w:rsidR="005961B8">
        <w:rPr>
          <w:rFonts w:eastAsia="Times New Roman"/>
          <w:bCs/>
        </w:rPr>
        <w:t xml:space="preserve"> otherwise. </w:t>
      </w:r>
      <w:r w:rsidR="006B07A6">
        <w:rPr>
          <w:rFonts w:eastAsia="Times New Roman"/>
          <w:bCs/>
        </w:rPr>
        <w:t>We label 8-K forms as earnings related form if the 8-K form includes Item 2.02</w:t>
      </w:r>
      <w:r w:rsidR="000F523D">
        <w:rPr>
          <w:rFonts w:eastAsia="Times New Roman"/>
          <w:bCs/>
        </w:rPr>
        <w:t xml:space="preserve"> (</w:t>
      </w:r>
      <w:r w:rsidR="000F523D" w:rsidRPr="000F523D">
        <w:rPr>
          <w:rFonts w:eastAsia="Times New Roman"/>
          <w:bCs/>
        </w:rPr>
        <w:t>Results of Operations and Financial Condition</w:t>
      </w:r>
      <w:r w:rsidR="000F523D">
        <w:rPr>
          <w:sz w:val="20"/>
          <w:szCs w:val="20"/>
        </w:rPr>
        <w:t>)</w:t>
      </w:r>
      <w:r w:rsidR="006B07A6">
        <w:rPr>
          <w:rFonts w:eastAsia="Times New Roman"/>
          <w:bCs/>
        </w:rPr>
        <w:t xml:space="preserve">. All other 8-K forms are labeled as non-earnings related forms. </w:t>
      </w:r>
      <w:r w:rsidR="00613512">
        <w:rPr>
          <w:rFonts w:eastAsia="Times New Roman"/>
          <w:bCs/>
        </w:rPr>
        <w:t>Based on our sample of 8-K</w:t>
      </w:r>
      <w:r w:rsidR="0090011B">
        <w:rPr>
          <w:rFonts w:eastAsia="Times New Roman"/>
          <w:bCs/>
        </w:rPr>
        <w:t xml:space="preserve"> reports</w:t>
      </w:r>
      <w:r w:rsidR="00613512">
        <w:rPr>
          <w:rFonts w:eastAsia="Times New Roman"/>
          <w:bCs/>
        </w:rPr>
        <w:t xml:space="preserve">, non-earnings 8-K are </w:t>
      </w:r>
      <w:r w:rsidR="00E443B1">
        <w:rPr>
          <w:rFonts w:eastAsia="Times New Roman"/>
          <w:bCs/>
        </w:rPr>
        <w:t xml:space="preserve">approximately </w:t>
      </w:r>
      <w:r w:rsidR="00613512">
        <w:rPr>
          <w:rFonts w:eastAsia="Times New Roman"/>
          <w:bCs/>
        </w:rPr>
        <w:t xml:space="preserve">twice as common compared to </w:t>
      </w:r>
      <w:r w:rsidR="006B07A6">
        <w:rPr>
          <w:rFonts w:eastAsia="Times New Roman"/>
          <w:bCs/>
        </w:rPr>
        <w:t xml:space="preserve">earnings related </w:t>
      </w:r>
      <w:r w:rsidR="00613512">
        <w:rPr>
          <w:rFonts w:eastAsia="Times New Roman"/>
          <w:bCs/>
        </w:rPr>
        <w:t xml:space="preserve">8-K (65,390 obs. </w:t>
      </w:r>
      <w:r w:rsidR="00A3309F">
        <w:rPr>
          <w:rFonts w:eastAsia="Times New Roman"/>
          <w:bCs/>
        </w:rPr>
        <w:t>vs.</w:t>
      </w:r>
      <w:r w:rsidR="00613512">
        <w:rPr>
          <w:rFonts w:eastAsia="Times New Roman"/>
          <w:bCs/>
        </w:rPr>
        <w:t xml:space="preserve"> 36,693 obs.).</w:t>
      </w:r>
      <w:r w:rsidR="006B07A6" w:rsidRPr="006B07A6">
        <w:rPr>
          <w:rStyle w:val="FootnoteReference"/>
          <w:rFonts w:eastAsia="Times New Roman"/>
          <w:bCs/>
        </w:rPr>
        <w:t xml:space="preserve"> </w:t>
      </w:r>
      <w:r w:rsidR="005961B8">
        <w:rPr>
          <w:rFonts w:eastAsia="Times New Roman"/>
          <w:bCs/>
        </w:rPr>
        <w:t xml:space="preserve">The panel </w:t>
      </w:r>
      <w:r w:rsidR="00613512">
        <w:rPr>
          <w:rFonts w:eastAsia="Times New Roman"/>
          <w:bCs/>
        </w:rPr>
        <w:t xml:space="preserve">also </w:t>
      </w:r>
      <w:r w:rsidR="005961B8">
        <w:rPr>
          <w:rFonts w:eastAsia="Times New Roman"/>
          <w:bCs/>
        </w:rPr>
        <w:t>shows that analysts are much more likely to react to earnings information; 70% of the analysts on average revise their forecast</w:t>
      </w:r>
      <w:r w:rsidR="00436B09">
        <w:rPr>
          <w:rFonts w:eastAsia="Times New Roman"/>
          <w:bCs/>
        </w:rPr>
        <w:t>,</w:t>
      </w:r>
      <w:r w:rsidR="005961B8">
        <w:rPr>
          <w:rFonts w:eastAsia="Times New Roman"/>
          <w:bCs/>
        </w:rPr>
        <w:t xml:space="preserve"> and the likelihood of at least one revision is close to 94% on average. In contradistinction, the reaction to non-earnings related information is far smaller. Only </w:t>
      </w:r>
      <w:r w:rsidR="000F59FF">
        <w:rPr>
          <w:rFonts w:eastAsia="Times New Roman"/>
          <w:bCs/>
        </w:rPr>
        <w:t>15</w:t>
      </w:r>
      <w:r w:rsidR="005961B8">
        <w:rPr>
          <w:rFonts w:eastAsia="Times New Roman"/>
          <w:bCs/>
        </w:rPr>
        <w:t>% of the analysts on average</w:t>
      </w:r>
      <w:r w:rsidR="00436B09" w:rsidRPr="00436B09">
        <w:rPr>
          <w:rFonts w:eastAsia="Times New Roman"/>
          <w:bCs/>
        </w:rPr>
        <w:t xml:space="preserve"> </w:t>
      </w:r>
      <w:r w:rsidR="00436B09">
        <w:rPr>
          <w:rFonts w:eastAsia="Times New Roman"/>
          <w:bCs/>
        </w:rPr>
        <w:t>react</w:t>
      </w:r>
      <w:r w:rsidR="005961B8">
        <w:rPr>
          <w:rFonts w:eastAsia="Times New Roman"/>
          <w:bCs/>
        </w:rPr>
        <w:t xml:space="preserve"> to non-earnings related information</w:t>
      </w:r>
      <w:r w:rsidR="00436B09">
        <w:rPr>
          <w:rFonts w:eastAsia="Times New Roman"/>
          <w:bCs/>
        </w:rPr>
        <w:t>,</w:t>
      </w:r>
      <w:r w:rsidR="005961B8">
        <w:rPr>
          <w:rFonts w:eastAsia="Times New Roman"/>
          <w:bCs/>
        </w:rPr>
        <w:t xml:space="preserve"> and the likelihood of reaction is close to 38%. While there is no benchmark </w:t>
      </w:r>
      <w:r w:rsidR="003929B3">
        <w:rPr>
          <w:rFonts w:eastAsia="Times New Roman"/>
          <w:bCs/>
        </w:rPr>
        <w:t xml:space="preserve">of expected reaction </w:t>
      </w:r>
      <w:r w:rsidR="005961B8">
        <w:rPr>
          <w:rFonts w:eastAsia="Times New Roman"/>
          <w:bCs/>
        </w:rPr>
        <w:t xml:space="preserve">to which we can compare the </w:t>
      </w:r>
      <w:r w:rsidR="003929B3">
        <w:rPr>
          <w:rFonts w:eastAsia="Times New Roman"/>
          <w:bCs/>
        </w:rPr>
        <w:t>actual reaction, the reaction to non-earnings information appears to be low. Further</w:t>
      </w:r>
      <w:r w:rsidR="00436B09">
        <w:rPr>
          <w:rFonts w:eastAsia="Times New Roman"/>
          <w:bCs/>
        </w:rPr>
        <w:t>more</w:t>
      </w:r>
      <w:r w:rsidR="003929B3">
        <w:rPr>
          <w:rFonts w:eastAsia="Times New Roman"/>
          <w:bCs/>
        </w:rPr>
        <w:t>, given that the 8-K contain</w:t>
      </w:r>
      <w:r w:rsidR="00467F76">
        <w:rPr>
          <w:rFonts w:eastAsia="Times New Roman"/>
          <w:bCs/>
        </w:rPr>
        <w:t>s</w:t>
      </w:r>
      <w:r w:rsidR="003929B3">
        <w:rPr>
          <w:rFonts w:eastAsia="Times New Roman"/>
          <w:bCs/>
        </w:rPr>
        <w:t xml:space="preserve"> value relevant information (Lerman and Livnat 2010), there are </w:t>
      </w:r>
      <w:r w:rsidR="0019286D">
        <w:rPr>
          <w:rFonts w:eastAsia="Times New Roman"/>
          <w:bCs/>
        </w:rPr>
        <w:t>two</w:t>
      </w:r>
      <w:r w:rsidR="003929B3">
        <w:rPr>
          <w:rFonts w:eastAsia="Times New Roman"/>
          <w:bCs/>
        </w:rPr>
        <w:t xml:space="preserve"> possibilities for the relative low reaction. First, the information does not affect expected cash flows but rather expected returns, and second</w:t>
      </w:r>
      <w:r w:rsidR="00751597">
        <w:rPr>
          <w:rFonts w:eastAsia="Times New Roman"/>
          <w:bCs/>
        </w:rPr>
        <w:t>,</w:t>
      </w:r>
      <w:r w:rsidR="003929B3">
        <w:rPr>
          <w:rFonts w:eastAsia="Times New Roman"/>
          <w:bCs/>
        </w:rPr>
        <w:t xml:space="preserve"> that </w:t>
      </w:r>
      <w:r w:rsidR="00E50B78">
        <w:rPr>
          <w:rFonts w:eastAsia="Times New Roman"/>
          <w:bCs/>
        </w:rPr>
        <w:t xml:space="preserve">not all </w:t>
      </w:r>
      <w:r w:rsidR="0019286D">
        <w:rPr>
          <w:rFonts w:eastAsia="Times New Roman"/>
          <w:bCs/>
        </w:rPr>
        <w:t xml:space="preserve">analysts are able to process and interpret non-earnings information. </w:t>
      </w:r>
      <w:r w:rsidR="008D4299">
        <w:rPr>
          <w:rFonts w:eastAsia="Times New Roman"/>
          <w:bCs/>
        </w:rPr>
        <w:t xml:space="preserve">However, </w:t>
      </w:r>
      <w:r w:rsidR="00436B09">
        <w:rPr>
          <w:rFonts w:eastAsia="Times New Roman"/>
          <w:bCs/>
        </w:rPr>
        <w:t>the fact that</w:t>
      </w:r>
      <w:r w:rsidR="00467F76">
        <w:rPr>
          <w:rFonts w:eastAsia="Times New Roman"/>
          <w:bCs/>
        </w:rPr>
        <w:t xml:space="preserve"> </w:t>
      </w:r>
      <w:r w:rsidR="008D4299">
        <w:rPr>
          <w:rFonts w:eastAsia="Times New Roman"/>
          <w:bCs/>
        </w:rPr>
        <w:t xml:space="preserve">some analysts react to non-earnings related information reported in </w:t>
      </w:r>
      <w:r w:rsidR="002C6604">
        <w:rPr>
          <w:rFonts w:eastAsia="Times New Roman"/>
          <w:bCs/>
        </w:rPr>
        <w:t>8-K</w:t>
      </w:r>
      <w:r w:rsidR="008D4299">
        <w:rPr>
          <w:rFonts w:eastAsia="Times New Roman"/>
          <w:bCs/>
        </w:rPr>
        <w:t xml:space="preserve"> forms </w:t>
      </w:r>
      <w:r w:rsidR="00751597">
        <w:rPr>
          <w:rFonts w:eastAsia="Times New Roman"/>
          <w:bCs/>
        </w:rPr>
        <w:t xml:space="preserve">by updating their forecasts </w:t>
      </w:r>
      <w:r w:rsidR="008D4299">
        <w:rPr>
          <w:rFonts w:eastAsia="Times New Roman"/>
          <w:bCs/>
        </w:rPr>
        <w:t>suggest</w:t>
      </w:r>
      <w:r w:rsidR="00751597">
        <w:rPr>
          <w:rFonts w:eastAsia="Times New Roman"/>
          <w:bCs/>
        </w:rPr>
        <w:t>s</w:t>
      </w:r>
      <w:r w:rsidR="008D4299">
        <w:rPr>
          <w:rFonts w:eastAsia="Times New Roman"/>
          <w:bCs/>
        </w:rPr>
        <w:t xml:space="preserve"> that the latter explanation </w:t>
      </w:r>
      <w:r w:rsidR="00F10E1F">
        <w:rPr>
          <w:rFonts w:eastAsia="Times New Roman"/>
          <w:bCs/>
        </w:rPr>
        <w:t xml:space="preserve">is plausible. This </w:t>
      </w:r>
      <w:r w:rsidR="006D377E">
        <w:rPr>
          <w:rFonts w:eastAsia="Times New Roman"/>
          <w:bCs/>
        </w:rPr>
        <w:t>explanation</w:t>
      </w:r>
      <w:r w:rsidR="00F10E1F">
        <w:rPr>
          <w:rFonts w:eastAsia="Times New Roman"/>
          <w:bCs/>
        </w:rPr>
        <w:t xml:space="preserve"> is also consistent with analysts having different skills and abilit</w:t>
      </w:r>
      <w:r w:rsidR="00436B09">
        <w:rPr>
          <w:rFonts w:eastAsia="Times New Roman"/>
          <w:bCs/>
        </w:rPr>
        <w:t>ies</w:t>
      </w:r>
      <w:r w:rsidR="00F10E1F">
        <w:rPr>
          <w:rFonts w:eastAsia="Times New Roman"/>
          <w:bCs/>
        </w:rPr>
        <w:t xml:space="preserve"> to process and interpret information (De</w:t>
      </w:r>
      <w:r w:rsidR="00B5024C">
        <w:rPr>
          <w:rFonts w:eastAsia="Times New Roman"/>
          <w:bCs/>
        </w:rPr>
        <w:t xml:space="preserve"> F</w:t>
      </w:r>
      <w:r w:rsidR="00F10E1F">
        <w:rPr>
          <w:rFonts w:eastAsia="Times New Roman"/>
          <w:bCs/>
        </w:rPr>
        <w:t>ranco and Zhou</w:t>
      </w:r>
      <w:r w:rsidR="000F59FF">
        <w:rPr>
          <w:rFonts w:eastAsia="Times New Roman"/>
          <w:bCs/>
        </w:rPr>
        <w:t>,</w:t>
      </w:r>
      <w:r w:rsidR="00F10E1F">
        <w:rPr>
          <w:rFonts w:eastAsia="Times New Roman"/>
          <w:bCs/>
        </w:rPr>
        <w:t xml:space="preserve"> 2009).</w:t>
      </w:r>
      <w:r w:rsidR="008D4299">
        <w:rPr>
          <w:rFonts w:eastAsia="Times New Roman"/>
          <w:bCs/>
        </w:rPr>
        <w:t xml:space="preserve"> </w:t>
      </w:r>
    </w:p>
    <w:p w:rsidR="000A6C6D" w:rsidRDefault="008D4299" w:rsidP="00F73119">
      <w:pPr>
        <w:widowControl w:val="0"/>
        <w:autoSpaceDE w:val="0"/>
        <w:autoSpaceDN w:val="0"/>
        <w:adjustRightInd w:val="0"/>
        <w:spacing w:after="240" w:line="480" w:lineRule="auto"/>
        <w:ind w:firstLine="567"/>
        <w:contextualSpacing/>
        <w:jc w:val="both"/>
        <w:rPr>
          <w:rFonts w:eastAsia="Times New Roman"/>
          <w:bCs/>
        </w:rPr>
      </w:pPr>
      <w:r>
        <w:rPr>
          <w:rFonts w:eastAsia="Times New Roman"/>
          <w:bCs/>
        </w:rPr>
        <w:t xml:space="preserve">We further explore </w:t>
      </w:r>
      <w:r w:rsidR="00A3309F">
        <w:rPr>
          <w:rFonts w:eastAsia="Times New Roman"/>
          <w:bCs/>
        </w:rPr>
        <w:t>analysts'</w:t>
      </w:r>
      <w:r w:rsidR="00F10E1F">
        <w:rPr>
          <w:rFonts w:eastAsia="Times New Roman"/>
          <w:bCs/>
        </w:rPr>
        <w:t xml:space="preserve"> reaction by </w:t>
      </w:r>
      <w:r>
        <w:rPr>
          <w:rFonts w:eastAsia="Times New Roman"/>
          <w:bCs/>
        </w:rPr>
        <w:t>analyz</w:t>
      </w:r>
      <w:r w:rsidR="00F10E1F">
        <w:rPr>
          <w:rFonts w:eastAsia="Times New Roman"/>
          <w:bCs/>
        </w:rPr>
        <w:t>ing</w:t>
      </w:r>
      <w:r>
        <w:rPr>
          <w:rFonts w:eastAsia="Times New Roman"/>
          <w:bCs/>
        </w:rPr>
        <w:t xml:space="preserve"> the Reaction Ratio and Likelihood of Reaction to each of the items reported in the form.</w:t>
      </w:r>
      <w:r w:rsidR="000F523D" w:rsidRPr="000F523D">
        <w:rPr>
          <w:rStyle w:val="FootnoteReference"/>
          <w:rFonts w:eastAsia="Times New Roman"/>
          <w:bCs/>
        </w:rPr>
        <w:t xml:space="preserve"> </w:t>
      </w:r>
      <w:r w:rsidR="000F523D">
        <w:rPr>
          <w:rStyle w:val="FootnoteReference"/>
          <w:rFonts w:eastAsia="Times New Roman"/>
          <w:bCs/>
        </w:rPr>
        <w:footnoteReference w:id="8"/>
      </w:r>
      <w:r>
        <w:rPr>
          <w:rFonts w:eastAsia="Times New Roman"/>
          <w:bCs/>
        </w:rPr>
        <w:t xml:space="preserve"> Table 2, Panel B </w:t>
      </w:r>
      <w:r>
        <w:rPr>
          <w:rFonts w:eastAsia="Times New Roman"/>
          <w:bCs/>
        </w:rPr>
        <w:lastRenderedPageBreak/>
        <w:t>shows the mean of the reaction variables by item.</w:t>
      </w:r>
      <w:r w:rsidR="00E443B1">
        <w:rPr>
          <w:rStyle w:val="FootnoteReference"/>
          <w:rFonts w:eastAsia="Times New Roman"/>
          <w:bCs/>
        </w:rPr>
        <w:footnoteReference w:id="9"/>
      </w:r>
      <w:r>
        <w:rPr>
          <w:rFonts w:eastAsia="Times New Roman"/>
          <w:bCs/>
        </w:rPr>
        <w:t xml:space="preserve"> Since many of the </w:t>
      </w:r>
      <w:r w:rsidR="002C6604">
        <w:rPr>
          <w:rFonts w:eastAsia="Times New Roman"/>
          <w:bCs/>
        </w:rPr>
        <w:t>8-K</w:t>
      </w:r>
      <w:r>
        <w:rPr>
          <w:rFonts w:eastAsia="Times New Roman"/>
          <w:bCs/>
        </w:rPr>
        <w:t xml:space="preserve"> forms include more than one item, thereby making it difficult to </w:t>
      </w:r>
      <w:r w:rsidR="006D377E">
        <w:rPr>
          <w:rFonts w:eastAsia="Times New Roman"/>
          <w:bCs/>
        </w:rPr>
        <w:t>ascertain</w:t>
      </w:r>
      <w:r>
        <w:rPr>
          <w:rFonts w:eastAsia="Times New Roman"/>
          <w:bCs/>
        </w:rPr>
        <w:t xml:space="preserve"> which specific item generated reaction, we also report in the table the mean reaction variables when we restrict the sample to </w:t>
      </w:r>
      <w:r w:rsidR="002C6604">
        <w:rPr>
          <w:rFonts w:eastAsia="Times New Roman"/>
          <w:bCs/>
        </w:rPr>
        <w:t>8-K</w:t>
      </w:r>
      <w:r>
        <w:rPr>
          <w:rFonts w:eastAsia="Times New Roman"/>
          <w:bCs/>
        </w:rPr>
        <w:t xml:space="preserve"> forms reporting a single item. Although there is variability in the reaction across items, the Reaction Ratio to most non-earnings related items is in the low teens, and the Likelihood of Reaction is </w:t>
      </w:r>
      <w:r w:rsidR="00AA2794">
        <w:rPr>
          <w:rFonts w:eastAsia="Times New Roman"/>
          <w:bCs/>
        </w:rPr>
        <w:t xml:space="preserve">predominantly </w:t>
      </w:r>
      <w:r>
        <w:rPr>
          <w:rFonts w:eastAsia="Times New Roman"/>
          <w:bCs/>
        </w:rPr>
        <w:t xml:space="preserve">between 30% </w:t>
      </w:r>
      <w:r w:rsidR="00AA2794">
        <w:rPr>
          <w:rFonts w:eastAsia="Times New Roman"/>
          <w:bCs/>
        </w:rPr>
        <w:t xml:space="preserve">and </w:t>
      </w:r>
      <w:r>
        <w:rPr>
          <w:rFonts w:eastAsia="Times New Roman"/>
          <w:bCs/>
        </w:rPr>
        <w:t xml:space="preserve">40%. These results indicate that </w:t>
      </w:r>
      <w:r w:rsidR="00F10E1F">
        <w:rPr>
          <w:rFonts w:eastAsia="Times New Roman"/>
          <w:bCs/>
        </w:rPr>
        <w:t xml:space="preserve">the average low reaction </w:t>
      </w:r>
      <w:r w:rsidR="006D377E">
        <w:rPr>
          <w:rFonts w:eastAsia="Times New Roman"/>
          <w:bCs/>
        </w:rPr>
        <w:t>documented</w:t>
      </w:r>
      <w:r w:rsidR="00F10E1F">
        <w:rPr>
          <w:rFonts w:eastAsia="Times New Roman"/>
          <w:bCs/>
        </w:rPr>
        <w:t xml:space="preserve"> above is not driven by few items but rather is consistent across most items. The table shows that </w:t>
      </w:r>
      <w:r w:rsidR="006D377E">
        <w:rPr>
          <w:rFonts w:eastAsia="Times New Roman"/>
          <w:bCs/>
        </w:rPr>
        <w:t>Regulation</w:t>
      </w:r>
      <w:r w:rsidR="00F10E1F">
        <w:rPr>
          <w:rFonts w:eastAsia="Times New Roman"/>
          <w:bCs/>
        </w:rPr>
        <w:t xml:space="preserve"> FD Disclosure (Item 7.01), </w:t>
      </w:r>
      <w:r w:rsidR="00F10E1F" w:rsidRPr="00F10E1F">
        <w:rPr>
          <w:rFonts w:eastAsia="Times New Roman"/>
          <w:bCs/>
        </w:rPr>
        <w:t xml:space="preserve">Non-Reliance on Previously Issued Financial Statements or a Related Audit Report or Completed Interim Review </w:t>
      </w:r>
      <w:r w:rsidR="00F10E1F">
        <w:rPr>
          <w:rFonts w:eastAsia="Times New Roman"/>
          <w:bCs/>
        </w:rPr>
        <w:t xml:space="preserve">(Item 4.02), and </w:t>
      </w:r>
      <w:r w:rsidR="00F10E1F" w:rsidRPr="00F10E1F">
        <w:rPr>
          <w:rFonts w:eastAsia="Times New Roman"/>
          <w:bCs/>
        </w:rPr>
        <w:t>Material Impairments</w:t>
      </w:r>
      <w:r w:rsidR="00F10E1F">
        <w:rPr>
          <w:rFonts w:eastAsia="Times New Roman"/>
          <w:bCs/>
        </w:rPr>
        <w:t xml:space="preserve"> (Item 2.06) generate the highest </w:t>
      </w:r>
      <w:r w:rsidR="00C66197">
        <w:rPr>
          <w:rFonts w:eastAsia="Times New Roman"/>
          <w:bCs/>
        </w:rPr>
        <w:t>Reaction</w:t>
      </w:r>
      <w:r w:rsidR="00F10E1F">
        <w:rPr>
          <w:rFonts w:eastAsia="Times New Roman"/>
          <w:bCs/>
        </w:rPr>
        <w:t xml:space="preserve"> Ratio, 24%, 18%, and 17.8% respectively. The latter two are clearly associated with expected earnings</w:t>
      </w:r>
      <w:r w:rsidR="00757B40">
        <w:rPr>
          <w:rFonts w:eastAsia="Times New Roman"/>
          <w:bCs/>
        </w:rPr>
        <w:t>,</w:t>
      </w:r>
      <w:r w:rsidR="00F10E1F">
        <w:rPr>
          <w:rFonts w:eastAsia="Times New Roman"/>
          <w:bCs/>
        </w:rPr>
        <w:t xml:space="preserve"> and hence the relatively low reaction is somewhat puzzling. </w:t>
      </w:r>
      <w:r w:rsidR="00C66197">
        <w:rPr>
          <w:rFonts w:eastAsia="Times New Roman"/>
          <w:bCs/>
        </w:rPr>
        <w:t>The items with the highest Likelihood of Reaction are those that generate the highest Reaction Ratio</w:t>
      </w:r>
      <w:r w:rsidR="00BA57C6">
        <w:rPr>
          <w:rFonts w:eastAsia="Times New Roman"/>
          <w:bCs/>
        </w:rPr>
        <w:t xml:space="preserve">. </w:t>
      </w:r>
      <w:r w:rsidR="006B07A6">
        <w:rPr>
          <w:rFonts w:eastAsia="Times New Roman"/>
          <w:bCs/>
        </w:rPr>
        <w:t xml:space="preserve">In </w:t>
      </w:r>
      <w:r w:rsidR="00467F76">
        <w:rPr>
          <w:rFonts w:eastAsia="Times New Roman"/>
          <w:bCs/>
        </w:rPr>
        <w:t>addition</w:t>
      </w:r>
      <w:r w:rsidR="006B07A6">
        <w:rPr>
          <w:rFonts w:eastAsia="Times New Roman"/>
          <w:bCs/>
        </w:rPr>
        <w:t xml:space="preserve">, </w:t>
      </w:r>
      <w:r w:rsidR="00C66197" w:rsidRPr="00C66197">
        <w:rPr>
          <w:rFonts w:eastAsia="Times New Roman"/>
          <w:bCs/>
        </w:rPr>
        <w:t>Costs Associated with Exit or Disposal Activities</w:t>
      </w:r>
      <w:r w:rsidR="00C66197">
        <w:rPr>
          <w:rFonts w:eastAsia="Times New Roman"/>
          <w:bCs/>
        </w:rPr>
        <w:t xml:space="preserve"> (Item 2.05) and </w:t>
      </w:r>
      <w:r w:rsidR="00C66197" w:rsidRPr="00C66197">
        <w:rPr>
          <w:rFonts w:eastAsia="Times New Roman"/>
          <w:bCs/>
        </w:rPr>
        <w:t>Completion of Acquisition or Disposition of Assets</w:t>
      </w:r>
      <w:r w:rsidR="00C66197">
        <w:rPr>
          <w:rFonts w:eastAsia="Times New Roman"/>
          <w:bCs/>
        </w:rPr>
        <w:t xml:space="preserve"> (Item 2.01)</w:t>
      </w:r>
      <w:r w:rsidR="006B07A6">
        <w:rPr>
          <w:rFonts w:eastAsia="Times New Roman"/>
          <w:bCs/>
        </w:rPr>
        <w:t xml:space="preserve"> also result in high Likelihood of Reaction</w:t>
      </w:r>
      <w:r w:rsidR="00C66197">
        <w:rPr>
          <w:rFonts w:eastAsia="Times New Roman"/>
          <w:bCs/>
        </w:rPr>
        <w:t xml:space="preserve">. </w:t>
      </w:r>
    </w:p>
    <w:p w:rsidR="003057DF" w:rsidRDefault="00C66197" w:rsidP="00F73119">
      <w:pPr>
        <w:widowControl w:val="0"/>
        <w:autoSpaceDE w:val="0"/>
        <w:autoSpaceDN w:val="0"/>
        <w:adjustRightInd w:val="0"/>
        <w:spacing w:after="240" w:line="480" w:lineRule="auto"/>
        <w:ind w:firstLine="567"/>
        <w:contextualSpacing/>
        <w:jc w:val="both"/>
        <w:rPr>
          <w:rFonts w:eastAsia="Times New Roman"/>
          <w:bCs/>
        </w:rPr>
      </w:pPr>
      <w:r>
        <w:rPr>
          <w:rFonts w:eastAsia="Times New Roman"/>
          <w:bCs/>
        </w:rPr>
        <w:t xml:space="preserve">To better understand the reaction to </w:t>
      </w:r>
      <w:r w:rsidR="001E1889">
        <w:rPr>
          <w:rFonts w:eastAsia="Times New Roman"/>
          <w:bCs/>
        </w:rPr>
        <w:t xml:space="preserve">non-earnings information included in </w:t>
      </w:r>
      <w:r w:rsidR="00757B40">
        <w:rPr>
          <w:rFonts w:eastAsia="Times New Roman"/>
          <w:bCs/>
        </w:rPr>
        <w:t xml:space="preserve">the </w:t>
      </w:r>
      <w:r w:rsidR="002C6604">
        <w:rPr>
          <w:rFonts w:eastAsia="Times New Roman"/>
          <w:bCs/>
        </w:rPr>
        <w:t>8-K</w:t>
      </w:r>
      <w:r>
        <w:rPr>
          <w:rFonts w:eastAsia="Times New Roman"/>
          <w:bCs/>
        </w:rPr>
        <w:t xml:space="preserve"> form</w:t>
      </w:r>
      <w:r w:rsidR="00757B40">
        <w:rPr>
          <w:rFonts w:eastAsia="Times New Roman"/>
          <w:bCs/>
        </w:rPr>
        <w:t>,</w:t>
      </w:r>
      <w:r>
        <w:rPr>
          <w:rFonts w:eastAsia="Times New Roman"/>
          <w:bCs/>
        </w:rPr>
        <w:t xml:space="preserve"> we regress the reaction variables on firm characteristic and the items reported in the form. </w:t>
      </w:r>
      <w:r w:rsidR="001E1889">
        <w:rPr>
          <w:rFonts w:eastAsia="Times New Roman"/>
          <w:bCs/>
        </w:rPr>
        <w:t xml:space="preserve">We exclude the </w:t>
      </w:r>
      <w:r w:rsidR="002C6604">
        <w:rPr>
          <w:rFonts w:eastAsia="Times New Roman"/>
          <w:bCs/>
        </w:rPr>
        <w:t>8-K</w:t>
      </w:r>
      <w:r w:rsidR="001E1889">
        <w:rPr>
          <w:rFonts w:eastAsia="Times New Roman"/>
          <w:bCs/>
        </w:rPr>
        <w:t xml:space="preserve"> forms which include Item 2.02 (Results of Operations)</w:t>
      </w:r>
      <w:r w:rsidR="00757B40">
        <w:rPr>
          <w:rFonts w:eastAsia="Times New Roman"/>
          <w:bCs/>
        </w:rPr>
        <w:t>, which</w:t>
      </w:r>
      <w:r w:rsidR="00304C6A">
        <w:rPr>
          <w:rFonts w:eastAsia="Times New Roman"/>
          <w:bCs/>
        </w:rPr>
        <w:t xml:space="preserve"> </w:t>
      </w:r>
      <w:r w:rsidR="00AC6445">
        <w:rPr>
          <w:rFonts w:eastAsia="Times New Roman"/>
          <w:bCs/>
        </w:rPr>
        <w:t>reduces the sample to</w:t>
      </w:r>
      <w:r w:rsidR="00304C6A">
        <w:rPr>
          <w:rFonts w:eastAsia="Times New Roman"/>
          <w:bCs/>
        </w:rPr>
        <w:t xml:space="preserve"> 65,390 8-K</w:t>
      </w:r>
      <w:r w:rsidR="00AC6445">
        <w:rPr>
          <w:rFonts w:eastAsia="Times New Roman"/>
          <w:bCs/>
        </w:rPr>
        <w:t xml:space="preserve"> forms comprising of 79,836 reported items.</w:t>
      </w:r>
      <w:r w:rsidR="001E4573">
        <w:rPr>
          <w:rFonts w:eastAsia="Times New Roman"/>
          <w:bCs/>
        </w:rPr>
        <w:t xml:space="preserve"> </w:t>
      </w:r>
      <w:r>
        <w:rPr>
          <w:rFonts w:eastAsia="Times New Roman"/>
          <w:bCs/>
        </w:rPr>
        <w:t xml:space="preserve">We </w:t>
      </w:r>
      <w:r w:rsidR="003057DF">
        <w:rPr>
          <w:rFonts w:eastAsia="Times New Roman"/>
          <w:bCs/>
        </w:rPr>
        <w:t>control for variables that proxy for the information environment of the firm as well as operating and financial risk. Specifically, we control for the</w:t>
      </w:r>
      <w:r>
        <w:rPr>
          <w:rFonts w:eastAsia="Times New Roman"/>
          <w:bCs/>
        </w:rPr>
        <w:t xml:space="preserve"> number of analysts following, size (log market value of equity), profitability (</w:t>
      </w:r>
      <w:r w:rsidR="00546BE5">
        <w:rPr>
          <w:rFonts w:eastAsia="Times New Roman"/>
          <w:bCs/>
        </w:rPr>
        <w:t xml:space="preserve">return </w:t>
      </w:r>
      <w:r w:rsidR="00546BE5">
        <w:rPr>
          <w:rFonts w:eastAsia="Times New Roman"/>
          <w:bCs/>
        </w:rPr>
        <w:lastRenderedPageBreak/>
        <w:t>on assets), leverage, book-to-market ratio</w:t>
      </w:r>
      <w:r w:rsidR="00757B40">
        <w:rPr>
          <w:rFonts w:eastAsia="Times New Roman"/>
          <w:bCs/>
        </w:rPr>
        <w:t>,</w:t>
      </w:r>
      <w:r w:rsidR="00546BE5">
        <w:rPr>
          <w:rFonts w:eastAsia="Times New Roman"/>
          <w:bCs/>
        </w:rPr>
        <w:t xml:space="preserve"> and equity return volatility. </w:t>
      </w:r>
      <w:r w:rsidR="001E1889">
        <w:rPr>
          <w:rFonts w:eastAsia="Times New Roman"/>
          <w:bCs/>
        </w:rPr>
        <w:t xml:space="preserve">We include in the regression </w:t>
      </w:r>
      <w:r w:rsidR="00BA57C6">
        <w:rPr>
          <w:rFonts w:eastAsia="Times New Roman"/>
          <w:bCs/>
        </w:rPr>
        <w:t xml:space="preserve">an </w:t>
      </w:r>
      <w:r w:rsidR="001E1889">
        <w:rPr>
          <w:rFonts w:eastAsia="Times New Roman"/>
          <w:bCs/>
        </w:rPr>
        <w:t>indicator variable for each item reported in the form. We use Probit (Tobit) to estimate the Likelihood of Reaction (</w:t>
      </w:r>
      <w:r w:rsidR="006D377E">
        <w:rPr>
          <w:rFonts w:eastAsia="Times New Roman"/>
          <w:bCs/>
        </w:rPr>
        <w:t>Reaction</w:t>
      </w:r>
      <w:r w:rsidR="001E1889">
        <w:rPr>
          <w:rFonts w:eastAsia="Times New Roman"/>
          <w:bCs/>
        </w:rPr>
        <w:t xml:space="preserve"> Ratio) regressions. The regressions control for firm and year fixed effects and the standard errors correct for firm clustering. </w:t>
      </w:r>
    </w:p>
    <w:p w:rsidR="00F73119" w:rsidRDefault="00337E7B" w:rsidP="00F73119">
      <w:pPr>
        <w:widowControl w:val="0"/>
        <w:autoSpaceDE w:val="0"/>
        <w:autoSpaceDN w:val="0"/>
        <w:adjustRightInd w:val="0"/>
        <w:spacing w:after="240" w:line="480" w:lineRule="auto"/>
        <w:ind w:firstLine="567"/>
        <w:contextualSpacing/>
        <w:jc w:val="both"/>
        <w:rPr>
          <w:rFonts w:eastAsia="Times New Roman"/>
          <w:bCs/>
        </w:rPr>
      </w:pPr>
      <w:r>
        <w:rPr>
          <w:rFonts w:eastAsia="Times New Roman"/>
          <w:bCs/>
        </w:rPr>
        <w:t xml:space="preserve">Table 2, Panel C shows the regression results. We find that the reaction </w:t>
      </w:r>
      <w:r w:rsidR="00E73051">
        <w:rPr>
          <w:rFonts w:eastAsia="Times New Roman"/>
          <w:bCs/>
        </w:rPr>
        <w:t xml:space="preserve">is positively associated with </w:t>
      </w:r>
      <w:r w:rsidR="00546BE5">
        <w:rPr>
          <w:rFonts w:eastAsia="Times New Roman"/>
          <w:bCs/>
        </w:rPr>
        <w:t>size, profitability, and leverage</w:t>
      </w:r>
      <w:r w:rsidR="00D46314">
        <w:rPr>
          <w:rFonts w:eastAsia="Times New Roman"/>
          <w:bCs/>
        </w:rPr>
        <w:t xml:space="preserve">, </w:t>
      </w:r>
      <w:r w:rsidR="00546BE5">
        <w:rPr>
          <w:rFonts w:eastAsia="Times New Roman"/>
          <w:bCs/>
        </w:rPr>
        <w:t>suggest</w:t>
      </w:r>
      <w:r w:rsidR="00D46314">
        <w:rPr>
          <w:rFonts w:eastAsia="Times New Roman"/>
          <w:bCs/>
        </w:rPr>
        <w:t>ing</w:t>
      </w:r>
      <w:r w:rsidR="00546BE5">
        <w:rPr>
          <w:rFonts w:eastAsia="Times New Roman"/>
          <w:bCs/>
        </w:rPr>
        <w:t xml:space="preserve"> that analysts are more likely to react to </w:t>
      </w:r>
      <w:r w:rsidR="002C6604">
        <w:rPr>
          <w:rFonts w:eastAsia="Times New Roman"/>
          <w:bCs/>
        </w:rPr>
        <w:t>8-K</w:t>
      </w:r>
      <w:r w:rsidR="00546BE5">
        <w:rPr>
          <w:rFonts w:eastAsia="Times New Roman"/>
          <w:bCs/>
        </w:rPr>
        <w:t xml:space="preserve"> forms filed by large and profitable companies</w:t>
      </w:r>
      <w:r w:rsidR="00D46314">
        <w:rPr>
          <w:rFonts w:eastAsia="Times New Roman"/>
          <w:bCs/>
        </w:rPr>
        <w:t xml:space="preserve">. The coefficients on the book-to-market ratio and equity return volatility are positive and significant in the Reaction Ratio regression but not in the Likelihood of Reaction regression. As expected, the </w:t>
      </w:r>
      <w:r w:rsidR="005976BD">
        <w:rPr>
          <w:rFonts w:eastAsia="Times New Roman"/>
          <w:bCs/>
        </w:rPr>
        <w:t>L</w:t>
      </w:r>
      <w:r w:rsidR="00D46314">
        <w:rPr>
          <w:rFonts w:eastAsia="Times New Roman"/>
          <w:bCs/>
        </w:rPr>
        <w:t xml:space="preserve">ikelihood of </w:t>
      </w:r>
      <w:r w:rsidR="005976BD">
        <w:rPr>
          <w:rFonts w:eastAsia="Times New Roman"/>
          <w:bCs/>
        </w:rPr>
        <w:t>R</w:t>
      </w:r>
      <w:r w:rsidR="00D46314">
        <w:rPr>
          <w:rFonts w:eastAsia="Times New Roman"/>
          <w:bCs/>
        </w:rPr>
        <w:t>eaction (reaction ratio) is positively (</w:t>
      </w:r>
      <w:r w:rsidR="006D377E">
        <w:rPr>
          <w:rFonts w:eastAsia="Times New Roman"/>
          <w:bCs/>
        </w:rPr>
        <w:t>negatively</w:t>
      </w:r>
      <w:r w:rsidR="00D46314">
        <w:rPr>
          <w:rFonts w:eastAsia="Times New Roman"/>
          <w:bCs/>
        </w:rPr>
        <w:t xml:space="preserve">) associated with the number of analysts following. </w:t>
      </w:r>
      <w:r>
        <w:rPr>
          <w:rFonts w:eastAsia="Times New Roman"/>
          <w:bCs/>
        </w:rPr>
        <w:t>More importantly, we find significant variation in the reaction for the various items reported in the 8-K form</w:t>
      </w:r>
      <w:r w:rsidR="00863936">
        <w:rPr>
          <w:rFonts w:eastAsia="Times New Roman"/>
          <w:bCs/>
        </w:rPr>
        <w:t xml:space="preserve"> and the </w:t>
      </w:r>
      <w:r w:rsidR="0031135A">
        <w:rPr>
          <w:rFonts w:eastAsia="Times New Roman"/>
          <w:bCs/>
        </w:rPr>
        <w:t>R</w:t>
      </w:r>
      <w:r w:rsidR="00863936">
        <w:rPr>
          <w:rFonts w:eastAsia="Times New Roman"/>
          <w:bCs/>
        </w:rPr>
        <w:t xml:space="preserve">eaction </w:t>
      </w:r>
      <w:r w:rsidR="0031135A">
        <w:rPr>
          <w:rFonts w:eastAsia="Times New Roman"/>
          <w:bCs/>
        </w:rPr>
        <w:t>Ratio and the Likelihood of Reaction are</w:t>
      </w:r>
      <w:r w:rsidR="00863936">
        <w:rPr>
          <w:rFonts w:eastAsia="Times New Roman"/>
          <w:bCs/>
        </w:rPr>
        <w:t xml:space="preserve"> </w:t>
      </w:r>
      <w:r w:rsidR="0031135A">
        <w:rPr>
          <w:rFonts w:eastAsia="Times New Roman"/>
          <w:bCs/>
        </w:rPr>
        <w:t>high</w:t>
      </w:r>
      <w:r w:rsidR="00863936">
        <w:rPr>
          <w:rFonts w:eastAsia="Times New Roman"/>
          <w:bCs/>
        </w:rPr>
        <w:t xml:space="preserve"> for Item 4.02, Item 7.01</w:t>
      </w:r>
      <w:r w:rsidR="0031135A">
        <w:rPr>
          <w:rFonts w:eastAsia="Times New Roman"/>
          <w:bCs/>
        </w:rPr>
        <w:t>, Item 2.05 and Item 2.01</w:t>
      </w:r>
      <w:r w:rsidR="00D22770">
        <w:rPr>
          <w:rStyle w:val="FootnoteReference"/>
          <w:rFonts w:eastAsia="Times New Roman"/>
          <w:bCs/>
        </w:rPr>
        <w:footnoteReference w:id="10"/>
      </w:r>
      <w:r w:rsidR="005976BD">
        <w:rPr>
          <w:rFonts w:eastAsia="Times New Roman"/>
          <w:bCs/>
        </w:rPr>
        <w:t>, which is consistent with the univariate analysis.</w:t>
      </w:r>
    </w:p>
    <w:p w:rsidR="00F73119" w:rsidRDefault="00F73119" w:rsidP="00F73119">
      <w:pPr>
        <w:widowControl w:val="0"/>
        <w:autoSpaceDE w:val="0"/>
        <w:autoSpaceDN w:val="0"/>
        <w:adjustRightInd w:val="0"/>
        <w:spacing w:after="240" w:line="480" w:lineRule="auto"/>
        <w:ind w:firstLine="567"/>
        <w:contextualSpacing/>
        <w:jc w:val="both"/>
        <w:rPr>
          <w:rFonts w:eastAsia="Times New Roman"/>
          <w:bCs/>
        </w:rPr>
      </w:pPr>
    </w:p>
    <w:p w:rsidR="0031135A" w:rsidRPr="003929B3" w:rsidRDefault="0031135A" w:rsidP="00F73119">
      <w:pPr>
        <w:spacing w:line="480" w:lineRule="auto"/>
        <w:jc w:val="both"/>
        <w:rPr>
          <w:i/>
        </w:rPr>
      </w:pPr>
      <w:r w:rsidRPr="002964EF">
        <w:rPr>
          <w:i/>
        </w:rPr>
        <w:t>4.</w:t>
      </w:r>
      <w:r>
        <w:rPr>
          <w:i/>
        </w:rPr>
        <w:t>2</w:t>
      </w:r>
      <w:r w:rsidRPr="002964EF">
        <w:rPr>
          <w:i/>
        </w:rPr>
        <w:t xml:space="preserve"> </w:t>
      </w:r>
      <w:r w:rsidR="00FC7C95">
        <w:rPr>
          <w:i/>
        </w:rPr>
        <w:t>Reaction to Non-Earnings Information and Forecast Error</w:t>
      </w:r>
    </w:p>
    <w:p w:rsidR="003821E5" w:rsidRDefault="0031135A" w:rsidP="00F73119">
      <w:pPr>
        <w:spacing w:line="480" w:lineRule="auto"/>
        <w:ind w:firstLine="567"/>
        <w:jc w:val="both"/>
        <w:rPr>
          <w:bCs/>
          <w:lang w:val="en-CA"/>
        </w:rPr>
      </w:pPr>
      <w:r w:rsidRPr="0031135A">
        <w:rPr>
          <w:bCs/>
          <w:lang w:val="en-CA"/>
        </w:rPr>
        <w:tab/>
        <w:t xml:space="preserve">In this section we </w:t>
      </w:r>
      <w:r>
        <w:rPr>
          <w:bCs/>
          <w:lang w:val="en-CA"/>
        </w:rPr>
        <w:t xml:space="preserve">examine whether </w:t>
      </w:r>
      <w:r w:rsidR="003D1FEC">
        <w:rPr>
          <w:bCs/>
          <w:lang w:val="en-CA"/>
        </w:rPr>
        <w:t>forecast revision following</w:t>
      </w:r>
      <w:r>
        <w:rPr>
          <w:bCs/>
          <w:lang w:val="en-CA"/>
        </w:rPr>
        <w:t xml:space="preserve"> </w:t>
      </w:r>
      <w:r w:rsidR="003D1FEC">
        <w:rPr>
          <w:bCs/>
          <w:lang w:val="en-CA"/>
        </w:rPr>
        <w:t>an 8-K with</w:t>
      </w:r>
      <w:r>
        <w:rPr>
          <w:bCs/>
          <w:lang w:val="en-CA"/>
        </w:rPr>
        <w:t xml:space="preserve"> non-earnings related information leads to lower earnings forecast error. Finding that reaction to non-earnings information </w:t>
      </w:r>
      <w:r w:rsidR="003821E5">
        <w:rPr>
          <w:bCs/>
          <w:lang w:val="en-CA"/>
        </w:rPr>
        <w:t xml:space="preserve">in </w:t>
      </w:r>
      <w:r w:rsidR="006E15E2">
        <w:rPr>
          <w:bCs/>
          <w:lang w:val="en-CA"/>
        </w:rPr>
        <w:t xml:space="preserve">the </w:t>
      </w:r>
      <w:r>
        <w:rPr>
          <w:bCs/>
          <w:lang w:val="en-CA"/>
        </w:rPr>
        <w:t xml:space="preserve">8-K </w:t>
      </w:r>
      <w:r w:rsidR="003821E5">
        <w:rPr>
          <w:bCs/>
          <w:lang w:val="en-CA"/>
        </w:rPr>
        <w:t xml:space="preserve">form leads to lower earnings forecast </w:t>
      </w:r>
      <w:r w:rsidR="00467F76">
        <w:rPr>
          <w:bCs/>
          <w:lang w:val="en-CA"/>
        </w:rPr>
        <w:t xml:space="preserve">error </w:t>
      </w:r>
      <w:r w:rsidR="007C0C89">
        <w:rPr>
          <w:bCs/>
          <w:lang w:val="en-CA"/>
        </w:rPr>
        <w:t xml:space="preserve">would </w:t>
      </w:r>
      <w:r w:rsidR="003821E5">
        <w:rPr>
          <w:bCs/>
          <w:lang w:val="en-CA"/>
        </w:rPr>
        <w:t xml:space="preserve">suggest that </w:t>
      </w:r>
      <w:r w:rsidR="00567F90">
        <w:rPr>
          <w:bCs/>
          <w:lang w:val="en-CA"/>
        </w:rPr>
        <w:t xml:space="preserve">analysts who react to 8-K are the more </w:t>
      </w:r>
      <w:r w:rsidR="00096EAF">
        <w:rPr>
          <w:bCs/>
          <w:lang w:val="en-CA"/>
        </w:rPr>
        <w:t>skilful</w:t>
      </w:r>
      <w:r w:rsidR="00567F90">
        <w:rPr>
          <w:bCs/>
          <w:lang w:val="en-CA"/>
        </w:rPr>
        <w:t xml:space="preserve"> </w:t>
      </w:r>
      <w:r w:rsidR="00096EAF">
        <w:rPr>
          <w:bCs/>
          <w:lang w:val="en-CA"/>
        </w:rPr>
        <w:t>because</w:t>
      </w:r>
      <w:r w:rsidR="00567F90">
        <w:rPr>
          <w:bCs/>
          <w:lang w:val="en-CA"/>
        </w:rPr>
        <w:t xml:space="preserve"> they are able to </w:t>
      </w:r>
      <w:r w:rsidR="00567F90">
        <w:rPr>
          <w:rFonts w:asciiTheme="majorBidi" w:hAnsiTheme="majorBidi" w:cstheme="majorBidi"/>
          <w:lang w:bidi="he-IL"/>
        </w:rPr>
        <w:t xml:space="preserve">interpret non-earnings information and transform it to a meaningful </w:t>
      </w:r>
      <w:r w:rsidR="00567F90">
        <w:rPr>
          <w:rFonts w:asciiTheme="majorBidi" w:hAnsiTheme="majorBidi" w:cstheme="majorBidi"/>
          <w:lang w:bidi="he-IL"/>
        </w:rPr>
        <w:lastRenderedPageBreak/>
        <w:t>forecast of future earnings. Further</w:t>
      </w:r>
      <w:r w:rsidR="006E15E2">
        <w:rPr>
          <w:rFonts w:asciiTheme="majorBidi" w:hAnsiTheme="majorBidi" w:cstheme="majorBidi"/>
          <w:lang w:bidi="he-IL"/>
        </w:rPr>
        <w:t>more</w:t>
      </w:r>
      <w:r w:rsidR="00567F90">
        <w:rPr>
          <w:rFonts w:asciiTheme="majorBidi" w:hAnsiTheme="majorBidi" w:cstheme="majorBidi"/>
          <w:lang w:bidi="he-IL"/>
        </w:rPr>
        <w:t xml:space="preserve">, </w:t>
      </w:r>
      <w:r w:rsidR="00567F90">
        <w:rPr>
          <w:bCs/>
          <w:lang w:val="en-CA"/>
        </w:rPr>
        <w:t xml:space="preserve">it would also suggest that the </w:t>
      </w:r>
      <w:r w:rsidR="003821E5">
        <w:rPr>
          <w:bCs/>
          <w:lang w:val="en-CA"/>
        </w:rPr>
        <w:t>8-K form include</w:t>
      </w:r>
      <w:r w:rsidR="007C0C89">
        <w:rPr>
          <w:bCs/>
          <w:lang w:val="en-CA"/>
        </w:rPr>
        <w:t>s</w:t>
      </w:r>
      <w:r w:rsidR="003821E5">
        <w:rPr>
          <w:bCs/>
          <w:lang w:val="en-CA"/>
        </w:rPr>
        <w:t xml:space="preserve"> information related to future profitability.</w:t>
      </w:r>
      <w:r w:rsidR="007C0C89">
        <w:rPr>
          <w:bCs/>
          <w:lang w:val="en-CA"/>
        </w:rPr>
        <w:t xml:space="preserve"> </w:t>
      </w:r>
    </w:p>
    <w:p w:rsidR="004D76CE" w:rsidRDefault="003821E5" w:rsidP="00467F76">
      <w:pPr>
        <w:spacing w:line="480" w:lineRule="auto"/>
        <w:ind w:firstLine="567"/>
        <w:jc w:val="both"/>
        <w:rPr>
          <w:bCs/>
          <w:lang w:val="en-CA"/>
        </w:rPr>
      </w:pPr>
      <w:r>
        <w:rPr>
          <w:bCs/>
          <w:lang w:val="en-CA"/>
        </w:rPr>
        <w:tab/>
        <w:t>We examine whether reaction to 8-K leads to lower forecast error using the following research design. We drop from the 8-K sample all the reports that include earnings information</w:t>
      </w:r>
      <w:r w:rsidR="007C0C89">
        <w:rPr>
          <w:bCs/>
          <w:lang w:val="en-CA"/>
        </w:rPr>
        <w:t xml:space="preserve"> as our study focuses on non-earnings information. </w:t>
      </w:r>
      <w:r w:rsidR="005461AD">
        <w:rPr>
          <w:bCs/>
          <w:lang w:val="en-CA"/>
        </w:rPr>
        <w:t xml:space="preserve">For each 8-K report we define the Forecast Period as the period from the beginning of the fiscal year through </w:t>
      </w:r>
      <w:r w:rsidR="006E15E2">
        <w:rPr>
          <w:bCs/>
          <w:lang w:val="en-CA"/>
        </w:rPr>
        <w:t>three</w:t>
      </w:r>
      <w:r w:rsidR="005461AD">
        <w:rPr>
          <w:bCs/>
          <w:lang w:val="en-CA"/>
        </w:rPr>
        <w:t xml:space="preserve"> days after the 8-K filing date. </w:t>
      </w:r>
      <w:r w:rsidR="00B90F60">
        <w:rPr>
          <w:bCs/>
          <w:lang w:val="en-CA"/>
        </w:rPr>
        <w:t xml:space="preserve">We restrict the forecast data to include next annual fiscal period earnings only. </w:t>
      </w:r>
      <w:r>
        <w:rPr>
          <w:bCs/>
          <w:lang w:val="en-CA"/>
        </w:rPr>
        <w:t xml:space="preserve">We merge the 8-K sample with </w:t>
      </w:r>
      <w:r w:rsidR="00B90F60">
        <w:rPr>
          <w:bCs/>
          <w:lang w:val="en-CA"/>
        </w:rPr>
        <w:t xml:space="preserve">the analyst data </w:t>
      </w:r>
      <w:r>
        <w:rPr>
          <w:bCs/>
          <w:lang w:val="en-CA"/>
        </w:rPr>
        <w:t>using firm-year identifiers</w:t>
      </w:r>
      <w:r w:rsidR="00B90F60">
        <w:rPr>
          <w:bCs/>
          <w:lang w:val="en-CA"/>
        </w:rPr>
        <w:t>,</w:t>
      </w:r>
      <w:r>
        <w:rPr>
          <w:bCs/>
          <w:lang w:val="en-CA"/>
        </w:rPr>
        <w:t xml:space="preserve"> and </w:t>
      </w:r>
      <w:r w:rsidR="005461AD">
        <w:rPr>
          <w:bCs/>
          <w:lang w:val="en-CA"/>
        </w:rPr>
        <w:t xml:space="preserve">require at least one forecast during the Forecast Period. This restriction reduces the 8-K sample to 52,440 reports. </w:t>
      </w:r>
      <w:r w:rsidR="00B90F60">
        <w:rPr>
          <w:bCs/>
          <w:lang w:val="en-CA"/>
        </w:rPr>
        <w:t xml:space="preserve">If an analyst provided more than </w:t>
      </w:r>
      <w:r w:rsidR="00467F76">
        <w:rPr>
          <w:bCs/>
          <w:lang w:val="en-CA"/>
        </w:rPr>
        <w:t xml:space="preserve">one </w:t>
      </w:r>
      <w:r w:rsidR="00B90F60">
        <w:rPr>
          <w:bCs/>
          <w:lang w:val="en-CA"/>
        </w:rPr>
        <w:t>forecast during the forecast period</w:t>
      </w:r>
      <w:r w:rsidR="006E15E2">
        <w:rPr>
          <w:bCs/>
          <w:lang w:val="en-CA"/>
        </w:rPr>
        <w:t>,</w:t>
      </w:r>
      <w:r w:rsidR="00B90F60">
        <w:rPr>
          <w:bCs/>
          <w:lang w:val="en-CA"/>
        </w:rPr>
        <w:t xml:space="preserve"> we keep the </w:t>
      </w:r>
      <w:r w:rsidR="00AC6445">
        <w:rPr>
          <w:bCs/>
          <w:lang w:val="en-CA"/>
        </w:rPr>
        <w:t xml:space="preserve">latest </w:t>
      </w:r>
      <w:r w:rsidR="00B90F60">
        <w:rPr>
          <w:bCs/>
          <w:lang w:val="en-CA"/>
        </w:rPr>
        <w:t xml:space="preserve">forecast </w:t>
      </w:r>
      <w:r w:rsidR="007C0C89">
        <w:rPr>
          <w:bCs/>
          <w:lang w:val="en-CA"/>
        </w:rPr>
        <w:t>during the Forecast Period</w:t>
      </w:r>
      <w:r w:rsidR="00B90F60">
        <w:rPr>
          <w:bCs/>
          <w:lang w:val="en-CA"/>
        </w:rPr>
        <w:t xml:space="preserve">. We then define </w:t>
      </w:r>
      <w:r w:rsidR="00BB6770">
        <w:rPr>
          <w:bCs/>
          <w:lang w:val="en-CA"/>
        </w:rPr>
        <w:t>R</w:t>
      </w:r>
      <w:r w:rsidR="00B90F60">
        <w:rPr>
          <w:bCs/>
          <w:lang w:val="en-CA"/>
        </w:rPr>
        <w:t xml:space="preserve">eaction indicator variable as </w:t>
      </w:r>
      <w:r w:rsidR="006E15E2">
        <w:rPr>
          <w:bCs/>
          <w:lang w:val="en-CA"/>
        </w:rPr>
        <w:t xml:space="preserve">1 </w:t>
      </w:r>
      <w:r w:rsidR="00B90F60">
        <w:rPr>
          <w:bCs/>
          <w:lang w:val="en-CA"/>
        </w:rPr>
        <w:t xml:space="preserve">if the analyst provided a forecast between the 8-K event date and </w:t>
      </w:r>
      <w:r w:rsidR="006E15E2">
        <w:rPr>
          <w:bCs/>
          <w:lang w:val="en-CA"/>
        </w:rPr>
        <w:t>three</w:t>
      </w:r>
      <w:r w:rsidR="00B90F60">
        <w:rPr>
          <w:bCs/>
          <w:lang w:val="en-CA"/>
        </w:rPr>
        <w:t xml:space="preserve"> days after the filing date and </w:t>
      </w:r>
      <w:r w:rsidR="006E15E2">
        <w:rPr>
          <w:bCs/>
          <w:lang w:val="en-CA"/>
        </w:rPr>
        <w:t xml:space="preserve">0 </w:t>
      </w:r>
      <w:r w:rsidR="00B90F60">
        <w:rPr>
          <w:bCs/>
          <w:lang w:val="en-CA"/>
        </w:rPr>
        <w:t>otherwise</w:t>
      </w:r>
      <w:r w:rsidR="001F3EF1">
        <w:rPr>
          <w:bCs/>
          <w:lang w:val="en-CA"/>
        </w:rPr>
        <w:t>.</w:t>
      </w:r>
      <w:r w:rsidR="001F3EF1">
        <w:rPr>
          <w:rStyle w:val="FootnoteReference"/>
          <w:bCs/>
          <w:lang w:val="en-CA"/>
        </w:rPr>
        <w:footnoteReference w:id="11"/>
      </w:r>
      <w:r w:rsidR="00B90F60">
        <w:rPr>
          <w:bCs/>
          <w:lang w:val="en-CA"/>
        </w:rPr>
        <w:t xml:space="preserve"> </w:t>
      </w:r>
      <w:r w:rsidR="003F6072">
        <w:rPr>
          <w:bCs/>
          <w:lang w:val="en-CA"/>
        </w:rPr>
        <w:t xml:space="preserve">Untabulated results show that of the 52,440 8-K reports, 27,914 reports did not </w:t>
      </w:r>
      <w:r w:rsidR="006D377E">
        <w:rPr>
          <w:bCs/>
          <w:lang w:val="en-CA"/>
        </w:rPr>
        <w:t>elicit</w:t>
      </w:r>
      <w:r w:rsidR="003F6072">
        <w:rPr>
          <w:bCs/>
          <w:lang w:val="en-CA"/>
        </w:rPr>
        <w:t xml:space="preserve"> any reaction, 8,553 reports </w:t>
      </w:r>
      <w:r w:rsidR="0061546E">
        <w:rPr>
          <w:bCs/>
          <w:lang w:val="en-CA"/>
        </w:rPr>
        <w:t>generated reaction by all analysts following the firm, and 15,973 reports resulted in partial reaction whereby some analysts reacted and others did not react.</w:t>
      </w:r>
      <w:r w:rsidR="00DF0E1F">
        <w:rPr>
          <w:bCs/>
          <w:lang w:val="en-CA"/>
        </w:rPr>
        <w:t xml:space="preserve"> </w:t>
      </w:r>
      <w:r w:rsidR="004D76CE">
        <w:rPr>
          <w:bCs/>
          <w:lang w:val="en-CA"/>
        </w:rPr>
        <w:t xml:space="preserve">The total number of forecasts available for the analysis is </w:t>
      </w:r>
      <w:r w:rsidR="00E61CA3">
        <w:rPr>
          <w:bCs/>
        </w:rPr>
        <w:t>613,217</w:t>
      </w:r>
      <w:r w:rsidR="00E6765F">
        <w:rPr>
          <w:bCs/>
        </w:rPr>
        <w:t>,</w:t>
      </w:r>
      <w:r w:rsidR="004D76CE" w:rsidRPr="004D76CE">
        <w:rPr>
          <w:bCs/>
          <w:lang w:val="en-CA"/>
        </w:rPr>
        <w:t xml:space="preserve"> </w:t>
      </w:r>
      <w:r w:rsidR="004D76CE">
        <w:rPr>
          <w:bCs/>
          <w:lang w:val="en-CA"/>
        </w:rPr>
        <w:t xml:space="preserve">and the mean (median) number of forecasts in the </w:t>
      </w:r>
      <w:r w:rsidR="001F3EF1">
        <w:rPr>
          <w:bCs/>
          <w:lang w:val="en-CA"/>
        </w:rPr>
        <w:t>F</w:t>
      </w:r>
      <w:r w:rsidR="004D76CE">
        <w:rPr>
          <w:bCs/>
          <w:lang w:val="en-CA"/>
        </w:rPr>
        <w:t xml:space="preserve">orecast </w:t>
      </w:r>
      <w:r w:rsidR="001F3EF1">
        <w:rPr>
          <w:bCs/>
          <w:lang w:val="en-CA"/>
        </w:rPr>
        <w:t>P</w:t>
      </w:r>
      <w:r w:rsidR="004D76CE">
        <w:rPr>
          <w:bCs/>
          <w:lang w:val="en-CA"/>
        </w:rPr>
        <w:t>eriod is 9.3 (7).</w:t>
      </w:r>
    </w:p>
    <w:p w:rsidR="00633570" w:rsidRDefault="004D76CE" w:rsidP="00F73119">
      <w:pPr>
        <w:spacing w:line="480" w:lineRule="auto"/>
        <w:ind w:firstLine="567"/>
        <w:jc w:val="both"/>
        <w:rPr>
          <w:bCs/>
          <w:lang w:val="en-CA"/>
        </w:rPr>
      </w:pPr>
      <w:r>
        <w:rPr>
          <w:bCs/>
          <w:lang w:val="en-CA"/>
        </w:rPr>
        <w:t xml:space="preserve">  </w:t>
      </w:r>
      <w:r w:rsidR="00E54338">
        <w:rPr>
          <w:bCs/>
          <w:lang w:val="en-CA"/>
        </w:rPr>
        <w:t xml:space="preserve">Table 3, Panel A shows the mean forecast errors for forecasts that were issued as </w:t>
      </w:r>
      <w:r w:rsidR="00633570">
        <w:rPr>
          <w:bCs/>
          <w:lang w:val="en-CA"/>
        </w:rPr>
        <w:t xml:space="preserve">a </w:t>
      </w:r>
      <w:r w:rsidR="00E54338">
        <w:rPr>
          <w:bCs/>
          <w:lang w:val="en-CA"/>
        </w:rPr>
        <w:t xml:space="preserve">reaction to 8-K and </w:t>
      </w:r>
      <w:r w:rsidR="001F3EF1">
        <w:rPr>
          <w:bCs/>
          <w:lang w:val="en-CA"/>
        </w:rPr>
        <w:t xml:space="preserve">all other forecasts during the Forecast Period. </w:t>
      </w:r>
      <w:r w:rsidR="00FD2961">
        <w:rPr>
          <w:bCs/>
          <w:lang w:val="en-CA"/>
        </w:rPr>
        <w:t>We compute the forecast error as the absolute value of the difference between the forecast and actual earnings</w:t>
      </w:r>
      <w:r w:rsidR="005461AD">
        <w:rPr>
          <w:bCs/>
          <w:lang w:val="en-CA"/>
        </w:rPr>
        <w:t xml:space="preserve"> per share</w:t>
      </w:r>
      <w:r w:rsidR="00FD2961">
        <w:rPr>
          <w:bCs/>
          <w:lang w:val="en-CA"/>
        </w:rPr>
        <w:t xml:space="preserve"> scaled by the beginning of the </w:t>
      </w:r>
      <w:r w:rsidR="001F3EF1">
        <w:rPr>
          <w:bCs/>
          <w:lang w:val="en-CA"/>
        </w:rPr>
        <w:t xml:space="preserve">fiscal </w:t>
      </w:r>
      <w:r w:rsidR="00FD2961">
        <w:rPr>
          <w:bCs/>
          <w:lang w:val="en-CA"/>
        </w:rPr>
        <w:t xml:space="preserve">year price per share. </w:t>
      </w:r>
      <w:r w:rsidR="00E54338">
        <w:rPr>
          <w:bCs/>
          <w:lang w:val="en-CA"/>
        </w:rPr>
        <w:t xml:space="preserve">Since the forecast error decreases over the fiscal year, we present the statistics by </w:t>
      </w:r>
      <w:r w:rsidR="00E54338">
        <w:rPr>
          <w:bCs/>
          <w:lang w:val="en-CA"/>
        </w:rPr>
        <w:lastRenderedPageBreak/>
        <w:t xml:space="preserve">months relative to fiscal year-end. </w:t>
      </w:r>
      <w:r w:rsidR="00A34BD9">
        <w:rPr>
          <w:bCs/>
          <w:lang w:val="en-CA"/>
        </w:rPr>
        <w:t>For example, we group together all the 8-K reports that were issued during the n</w:t>
      </w:r>
      <w:r w:rsidR="00A34BD9" w:rsidRPr="00A34BD9">
        <w:rPr>
          <w:bCs/>
          <w:vertAlign w:val="superscript"/>
          <w:lang w:val="en-CA"/>
        </w:rPr>
        <w:t>th</w:t>
      </w:r>
      <w:r w:rsidR="00A34BD9">
        <w:rPr>
          <w:bCs/>
          <w:lang w:val="en-CA"/>
        </w:rPr>
        <w:t xml:space="preserve"> month prior to fiscal year end</w:t>
      </w:r>
      <w:r w:rsidR="00633570">
        <w:rPr>
          <w:bCs/>
          <w:lang w:val="en-CA"/>
        </w:rPr>
        <w:t xml:space="preserve"> (</w:t>
      </w:r>
      <w:r w:rsidR="00633570" w:rsidRPr="001F0D6A">
        <w:rPr>
          <w:bCs/>
          <w:i/>
          <w:lang w:val="en-CA"/>
        </w:rPr>
        <w:t>n</w:t>
      </w:r>
      <w:r w:rsidR="00633570">
        <w:rPr>
          <w:bCs/>
          <w:i/>
          <w:lang w:val="en-CA"/>
        </w:rPr>
        <w:t xml:space="preserve"> </w:t>
      </w:r>
      <w:r w:rsidR="00633570">
        <w:rPr>
          <w:bCs/>
          <w:lang w:val="en-CA"/>
        </w:rPr>
        <w:t xml:space="preserve">=1 through 12) </w:t>
      </w:r>
      <w:r w:rsidR="00A34BD9">
        <w:rPr>
          <w:bCs/>
          <w:lang w:val="en-CA"/>
        </w:rPr>
        <w:t xml:space="preserve">and compare the mean forecast error of all forecast that were issued as </w:t>
      </w:r>
      <w:r w:rsidR="00633570">
        <w:rPr>
          <w:bCs/>
          <w:lang w:val="en-CA"/>
        </w:rPr>
        <w:t xml:space="preserve">a </w:t>
      </w:r>
      <w:r w:rsidR="00A34BD9">
        <w:rPr>
          <w:bCs/>
          <w:lang w:val="en-CA"/>
        </w:rPr>
        <w:t xml:space="preserve">reaction to 8-K forms that were filed during the month </w:t>
      </w:r>
      <w:r w:rsidR="00633570">
        <w:rPr>
          <w:bCs/>
          <w:lang w:val="en-CA"/>
        </w:rPr>
        <w:t xml:space="preserve">with </w:t>
      </w:r>
      <w:r w:rsidR="00A34BD9">
        <w:rPr>
          <w:bCs/>
          <w:lang w:val="en-CA"/>
        </w:rPr>
        <w:t xml:space="preserve">the mean forecast error of all other (no reaction) forecasts that were issued during the Forecast Periods of these 8-K forms. </w:t>
      </w:r>
    </w:p>
    <w:p w:rsidR="001F3EF1" w:rsidRDefault="00E42A31" w:rsidP="00F73119">
      <w:pPr>
        <w:spacing w:line="480" w:lineRule="auto"/>
        <w:ind w:firstLine="567"/>
        <w:jc w:val="both"/>
        <w:rPr>
          <w:bCs/>
          <w:lang w:val="en-CA"/>
        </w:rPr>
      </w:pPr>
      <w:r>
        <w:rPr>
          <w:bCs/>
          <w:lang w:val="en-CA"/>
        </w:rPr>
        <w:t>The table indicate</w:t>
      </w:r>
      <w:r w:rsidR="00C9382D">
        <w:rPr>
          <w:bCs/>
          <w:lang w:val="en-CA"/>
        </w:rPr>
        <w:t>s</w:t>
      </w:r>
      <w:r>
        <w:rPr>
          <w:bCs/>
          <w:lang w:val="en-CA"/>
        </w:rPr>
        <w:t xml:space="preserve"> that with the exception of 8-K </w:t>
      </w:r>
      <w:r w:rsidR="001F3EF1">
        <w:rPr>
          <w:bCs/>
          <w:lang w:val="en-CA"/>
        </w:rPr>
        <w:t xml:space="preserve">forms </w:t>
      </w:r>
      <w:r>
        <w:rPr>
          <w:bCs/>
          <w:lang w:val="en-CA"/>
        </w:rPr>
        <w:t xml:space="preserve">issued 12 months prior to fiscal year-end, the mean forecast error of forecasts that were issued </w:t>
      </w:r>
      <w:r w:rsidR="00D22770">
        <w:rPr>
          <w:bCs/>
          <w:lang w:val="en-CA"/>
        </w:rPr>
        <w:t>following an</w:t>
      </w:r>
      <w:r>
        <w:rPr>
          <w:bCs/>
          <w:lang w:val="en-CA"/>
        </w:rPr>
        <w:t xml:space="preserve"> 8-K are uniformly lower than the forecast error of other forecasts that were issued during the </w:t>
      </w:r>
      <w:r w:rsidR="00A34BD9">
        <w:rPr>
          <w:bCs/>
          <w:lang w:val="en-CA"/>
        </w:rPr>
        <w:t>F</w:t>
      </w:r>
      <w:r>
        <w:rPr>
          <w:bCs/>
          <w:lang w:val="en-CA"/>
        </w:rPr>
        <w:t xml:space="preserve">orecast </w:t>
      </w:r>
      <w:r w:rsidR="00A34BD9">
        <w:rPr>
          <w:bCs/>
          <w:lang w:val="en-CA"/>
        </w:rPr>
        <w:t>P</w:t>
      </w:r>
      <w:r>
        <w:rPr>
          <w:bCs/>
          <w:lang w:val="en-CA"/>
        </w:rPr>
        <w:t>eriod</w:t>
      </w:r>
      <w:r w:rsidR="00633570">
        <w:rPr>
          <w:bCs/>
          <w:lang w:val="en-CA"/>
        </w:rPr>
        <w:t>.T</w:t>
      </w:r>
      <w:r>
        <w:rPr>
          <w:bCs/>
          <w:lang w:val="en-CA"/>
        </w:rPr>
        <w:t>he difference is statistically significant at 1% or better</w:t>
      </w:r>
      <w:r w:rsidR="00633570">
        <w:rPr>
          <w:bCs/>
          <w:lang w:val="en-CA"/>
        </w:rPr>
        <w:t>,</w:t>
      </w:r>
      <w:r>
        <w:rPr>
          <w:bCs/>
          <w:lang w:val="en-CA"/>
        </w:rPr>
        <w:t xml:space="preserve"> except for months 9 and 11 where the difference is significant at 5%. These results suggest that reaction to non-earnings information reported in 8-K leads to lower forecast error</w:t>
      </w:r>
      <w:r w:rsidR="00C9382D">
        <w:rPr>
          <w:bCs/>
          <w:lang w:val="en-CA"/>
        </w:rPr>
        <w:t>,</w:t>
      </w:r>
      <w:r>
        <w:rPr>
          <w:bCs/>
          <w:lang w:val="en-CA"/>
        </w:rPr>
        <w:t xml:space="preserve"> </w:t>
      </w:r>
      <w:r w:rsidR="00A34BD9">
        <w:rPr>
          <w:bCs/>
          <w:lang w:val="en-CA"/>
        </w:rPr>
        <w:t xml:space="preserve">consistent with our conjecture that skilful analysts are those who are more likely to be able to assess the impact of non-earning information on future profitability. The results also suggest </w:t>
      </w:r>
      <w:r>
        <w:rPr>
          <w:bCs/>
          <w:lang w:val="en-CA"/>
        </w:rPr>
        <w:t>that although the 8-K form does not include information related directly to earnings, the information is useful in predicting future earnings.</w:t>
      </w:r>
    </w:p>
    <w:p w:rsidR="00FD2961" w:rsidRDefault="001F3EF1" w:rsidP="006F0872">
      <w:pPr>
        <w:spacing w:line="480" w:lineRule="auto"/>
        <w:ind w:firstLine="567"/>
        <w:jc w:val="both"/>
        <w:rPr>
          <w:bCs/>
          <w:lang w:val="en-CA"/>
        </w:rPr>
      </w:pPr>
      <w:r>
        <w:rPr>
          <w:bCs/>
          <w:lang w:val="en-CA"/>
        </w:rPr>
        <w:t xml:space="preserve">Table 3, Panel B shows the regression results. </w:t>
      </w:r>
      <w:r w:rsidR="00996AB9">
        <w:rPr>
          <w:bCs/>
          <w:lang w:val="en-CA"/>
        </w:rPr>
        <w:t xml:space="preserve">The dependent variable is the forecast error, and the independent variables include firm characteristics that are associated with forecast error </w:t>
      </w:r>
      <w:r w:rsidR="00633570">
        <w:t>–</w:t>
      </w:r>
      <w:r w:rsidR="00996AB9">
        <w:rPr>
          <w:bCs/>
          <w:lang w:val="en-CA"/>
        </w:rPr>
        <w:t xml:space="preserve"> size, profitability, equity return volatility, leverage, growth (proxied by the book-to-market ratio), and institutional ownership. In addition, we include the </w:t>
      </w:r>
      <w:r w:rsidR="00BB6770">
        <w:rPr>
          <w:bCs/>
          <w:lang w:val="en-CA"/>
        </w:rPr>
        <w:t>R</w:t>
      </w:r>
      <w:r w:rsidR="00996AB9">
        <w:rPr>
          <w:bCs/>
          <w:lang w:val="en-CA"/>
        </w:rPr>
        <w:t xml:space="preserve">eaction </w:t>
      </w:r>
      <w:r w:rsidR="00BB6770">
        <w:rPr>
          <w:bCs/>
          <w:lang w:val="en-CA"/>
        </w:rPr>
        <w:t>indicator</w:t>
      </w:r>
      <w:r w:rsidR="00996AB9">
        <w:rPr>
          <w:bCs/>
          <w:lang w:val="en-CA"/>
        </w:rPr>
        <w:t xml:space="preserve"> </w:t>
      </w:r>
      <w:r w:rsidR="00633570">
        <w:t>–</w:t>
      </w:r>
      <w:r w:rsidR="00996AB9">
        <w:rPr>
          <w:bCs/>
          <w:lang w:val="en-CA"/>
        </w:rPr>
        <w:t xml:space="preserve"> an indicator with 1 if the forecast is issued following an 8-K and </w:t>
      </w:r>
      <w:r w:rsidR="00633570">
        <w:rPr>
          <w:bCs/>
          <w:lang w:val="en-CA"/>
        </w:rPr>
        <w:t>0</w:t>
      </w:r>
      <w:r w:rsidR="00996AB9">
        <w:rPr>
          <w:bCs/>
          <w:lang w:val="en-CA"/>
        </w:rPr>
        <w:t xml:space="preserve"> otherwise.</w:t>
      </w:r>
      <w:r w:rsidR="0099624A">
        <w:rPr>
          <w:bCs/>
          <w:lang w:val="en-CA"/>
        </w:rPr>
        <w:t xml:space="preserve"> </w:t>
      </w:r>
      <w:r w:rsidR="006F0872">
        <w:rPr>
          <w:bCs/>
          <w:lang w:val="en-CA"/>
        </w:rPr>
        <w:t>W</w:t>
      </w:r>
      <w:r w:rsidR="0099624A">
        <w:rPr>
          <w:bCs/>
          <w:lang w:val="en-CA"/>
        </w:rPr>
        <w:t xml:space="preserve">e include </w:t>
      </w:r>
      <w:r w:rsidR="00FE07D5">
        <w:rPr>
          <w:bCs/>
          <w:lang w:val="en-CA"/>
        </w:rPr>
        <w:t>firm, year</w:t>
      </w:r>
      <w:r w:rsidR="001018E8">
        <w:rPr>
          <w:bCs/>
          <w:lang w:val="en-CA"/>
        </w:rPr>
        <w:t>,</w:t>
      </w:r>
      <w:r w:rsidR="00FE07D5">
        <w:rPr>
          <w:bCs/>
          <w:lang w:val="en-CA"/>
        </w:rPr>
        <w:t xml:space="preserve"> and </w:t>
      </w:r>
      <w:r w:rsidR="0099624A">
        <w:rPr>
          <w:bCs/>
          <w:lang w:val="en-CA"/>
        </w:rPr>
        <w:t>number of months prior to fiscal year-end fixed effects. The s</w:t>
      </w:r>
      <w:r w:rsidR="00FE07D5">
        <w:rPr>
          <w:bCs/>
          <w:lang w:val="en-CA"/>
        </w:rPr>
        <w:t xml:space="preserve">tandard errors correct for firm </w:t>
      </w:r>
      <w:r w:rsidR="0099624A">
        <w:rPr>
          <w:bCs/>
          <w:lang w:val="en-CA"/>
        </w:rPr>
        <w:t xml:space="preserve">clustering. </w:t>
      </w:r>
      <w:r w:rsidR="00FE07D5">
        <w:rPr>
          <w:bCs/>
          <w:lang w:val="en-CA"/>
        </w:rPr>
        <w:t xml:space="preserve">The column labeled ALL 8-K shows the pooled regression results. The </w:t>
      </w:r>
      <w:r w:rsidR="00BB6770">
        <w:rPr>
          <w:bCs/>
          <w:lang w:val="en-CA"/>
        </w:rPr>
        <w:t>R</w:t>
      </w:r>
      <w:r w:rsidR="00FE07D5">
        <w:rPr>
          <w:bCs/>
          <w:lang w:val="en-CA"/>
        </w:rPr>
        <w:t>eaction indicator is negative and significant (</w:t>
      </w:r>
      <w:r w:rsidR="00FE07D5" w:rsidRPr="00EE241D">
        <w:rPr>
          <w:bCs/>
          <w:i/>
          <w:lang w:val="en-CA"/>
        </w:rPr>
        <w:t>p</w:t>
      </w:r>
      <w:r w:rsidR="00FE07D5">
        <w:rPr>
          <w:bCs/>
          <w:lang w:val="en-CA"/>
        </w:rPr>
        <w:t>-value</w:t>
      </w:r>
      <w:r w:rsidR="001018E8">
        <w:rPr>
          <w:bCs/>
          <w:lang w:val="en-CA"/>
        </w:rPr>
        <w:t xml:space="preserve"> </w:t>
      </w:r>
      <w:r w:rsidR="00FE07D5">
        <w:rPr>
          <w:bCs/>
          <w:lang w:val="en-CA"/>
        </w:rPr>
        <w:t>&lt;</w:t>
      </w:r>
      <w:r w:rsidR="001018E8">
        <w:rPr>
          <w:bCs/>
          <w:lang w:val="en-CA"/>
        </w:rPr>
        <w:t xml:space="preserve"> </w:t>
      </w:r>
      <w:r w:rsidR="00FE07D5">
        <w:rPr>
          <w:bCs/>
          <w:lang w:val="en-CA"/>
        </w:rPr>
        <w:t>0.01) indicating that forecasts issued following a</w:t>
      </w:r>
      <w:r w:rsidR="006A44B1">
        <w:rPr>
          <w:bCs/>
          <w:lang w:val="en-CA"/>
        </w:rPr>
        <w:t xml:space="preserve"> </w:t>
      </w:r>
      <w:r w:rsidR="006A44B1">
        <w:rPr>
          <w:bCs/>
          <w:lang w:val="en-CA"/>
        </w:rPr>
        <w:lastRenderedPageBreak/>
        <w:t xml:space="preserve">non-earnings </w:t>
      </w:r>
      <w:r w:rsidR="002C6604">
        <w:rPr>
          <w:bCs/>
          <w:lang w:val="en-CA"/>
        </w:rPr>
        <w:t>8-K</w:t>
      </w:r>
      <w:r w:rsidR="00FE07D5">
        <w:rPr>
          <w:bCs/>
          <w:lang w:val="en-CA"/>
        </w:rPr>
        <w:t xml:space="preserve"> report have </w:t>
      </w:r>
      <w:r w:rsidR="006A44B1">
        <w:rPr>
          <w:bCs/>
          <w:lang w:val="en-CA"/>
        </w:rPr>
        <w:t xml:space="preserve">on average a </w:t>
      </w:r>
      <w:r w:rsidR="00FE07D5">
        <w:rPr>
          <w:bCs/>
          <w:lang w:val="en-CA"/>
        </w:rPr>
        <w:t xml:space="preserve">lower forecast error in comparison to all other </w:t>
      </w:r>
      <w:r w:rsidR="006A44B1">
        <w:rPr>
          <w:bCs/>
          <w:lang w:val="en-CA"/>
        </w:rPr>
        <w:t xml:space="preserve">concurrent </w:t>
      </w:r>
      <w:r w:rsidR="00FE07D5">
        <w:rPr>
          <w:bCs/>
          <w:lang w:val="en-CA"/>
        </w:rPr>
        <w:t xml:space="preserve">forecasts. This suggests that analysts who are able to interpret the non-earnings information in the 8-K and infer its impact on future profitability are able to provide more accurate earnings forecast. The coefficients on the other control variables are broadly consistent with the findings in the extant literature. Forecast error is positively associated with </w:t>
      </w:r>
      <w:r w:rsidR="004B5020">
        <w:rPr>
          <w:bCs/>
          <w:lang w:val="en-CA"/>
        </w:rPr>
        <w:t>leverage</w:t>
      </w:r>
      <w:r w:rsidR="00FE07D5">
        <w:rPr>
          <w:bCs/>
          <w:lang w:val="en-CA"/>
        </w:rPr>
        <w:t xml:space="preserve"> and the book-to-market ratio, and is negatively associated with size, profitability, </w:t>
      </w:r>
      <w:r w:rsidR="004B5020">
        <w:rPr>
          <w:bCs/>
          <w:lang w:val="en-CA"/>
        </w:rPr>
        <w:t xml:space="preserve">and </w:t>
      </w:r>
      <w:r w:rsidR="00FE07D5">
        <w:rPr>
          <w:bCs/>
          <w:lang w:val="en-CA"/>
        </w:rPr>
        <w:t>institutional ownership</w:t>
      </w:r>
      <w:r w:rsidR="004B5020">
        <w:rPr>
          <w:bCs/>
          <w:lang w:val="en-CA"/>
        </w:rPr>
        <w:t xml:space="preserve">. To examine whether </w:t>
      </w:r>
      <w:r w:rsidR="00FC7C95">
        <w:rPr>
          <w:bCs/>
          <w:lang w:val="en-CA"/>
        </w:rPr>
        <w:t xml:space="preserve">a specific item drives </w:t>
      </w:r>
      <w:r w:rsidR="004B5020">
        <w:rPr>
          <w:bCs/>
          <w:lang w:val="en-CA"/>
        </w:rPr>
        <w:t xml:space="preserve">the results, we estimate the regression separately for each </w:t>
      </w:r>
      <w:r w:rsidR="00FC7C95">
        <w:rPr>
          <w:bCs/>
          <w:lang w:val="en-CA"/>
        </w:rPr>
        <w:t>i</w:t>
      </w:r>
      <w:r w:rsidR="004B5020">
        <w:rPr>
          <w:bCs/>
          <w:lang w:val="en-CA"/>
        </w:rPr>
        <w:t>tem. The results are broadly consistent with the pooled regression</w:t>
      </w:r>
      <w:r w:rsidR="00FC7C95">
        <w:rPr>
          <w:bCs/>
          <w:lang w:val="en-CA"/>
        </w:rPr>
        <w:t>;</w:t>
      </w:r>
      <w:r w:rsidR="004B5020">
        <w:rPr>
          <w:bCs/>
          <w:lang w:val="en-CA"/>
        </w:rPr>
        <w:t xml:space="preserve"> we find that reaction to 10 of the 19 items leads to lower forecast error. Further</w:t>
      </w:r>
      <w:r w:rsidR="001018E8">
        <w:rPr>
          <w:bCs/>
          <w:lang w:val="en-CA"/>
        </w:rPr>
        <w:t>more</w:t>
      </w:r>
      <w:r w:rsidR="004B5020">
        <w:rPr>
          <w:bCs/>
          <w:lang w:val="en-CA"/>
        </w:rPr>
        <w:t>, reaction to the most frequent Items (1.01, 5.02, 7.01, and 8.01) leads to lower forecast error.</w:t>
      </w:r>
      <w:r w:rsidR="00BF0A1B">
        <w:rPr>
          <w:bCs/>
          <w:lang w:val="en-CA"/>
        </w:rPr>
        <w:t xml:space="preserve"> </w:t>
      </w:r>
    </w:p>
    <w:p w:rsidR="00387D4C" w:rsidRDefault="00E61CA3" w:rsidP="00F73119">
      <w:pPr>
        <w:spacing w:line="480" w:lineRule="auto"/>
        <w:ind w:firstLine="567"/>
        <w:jc w:val="both"/>
        <w:rPr>
          <w:bCs/>
          <w:lang w:val="en-CA"/>
        </w:rPr>
      </w:pPr>
      <w:r>
        <w:rPr>
          <w:bCs/>
          <w:lang w:val="en-CA"/>
        </w:rPr>
        <w:t xml:space="preserve">We conduct various </w:t>
      </w:r>
      <w:r w:rsidR="006D377E">
        <w:rPr>
          <w:bCs/>
          <w:lang w:val="en-CA"/>
        </w:rPr>
        <w:t>sensitivity</w:t>
      </w:r>
      <w:r>
        <w:rPr>
          <w:bCs/>
          <w:lang w:val="en-CA"/>
        </w:rPr>
        <w:t xml:space="preserve"> analyses to assess the robustness of the results. First, we replicate the analysis using Fama</w:t>
      </w:r>
      <w:r w:rsidR="00F13672">
        <w:rPr>
          <w:bCs/>
          <w:lang w:val="en-CA"/>
        </w:rPr>
        <w:t xml:space="preserve"> and </w:t>
      </w:r>
      <w:r>
        <w:rPr>
          <w:bCs/>
          <w:lang w:val="en-CA"/>
        </w:rPr>
        <w:t>M</w:t>
      </w:r>
      <w:r w:rsidR="00F13672">
        <w:rPr>
          <w:bCs/>
          <w:lang w:val="en-CA"/>
        </w:rPr>
        <w:t>a</w:t>
      </w:r>
      <w:r>
        <w:rPr>
          <w:bCs/>
          <w:lang w:val="en-CA"/>
        </w:rPr>
        <w:t>cBeth</w:t>
      </w:r>
      <w:r w:rsidR="00F13672">
        <w:rPr>
          <w:bCs/>
          <w:lang w:val="en-CA"/>
        </w:rPr>
        <w:t xml:space="preserve"> (1973)</w:t>
      </w:r>
      <w:r>
        <w:rPr>
          <w:bCs/>
          <w:lang w:val="en-CA"/>
        </w:rPr>
        <w:t xml:space="preserve"> methodology. We estimate the regressions by month</w:t>
      </w:r>
      <w:r w:rsidR="00BB6770">
        <w:rPr>
          <w:bCs/>
          <w:lang w:val="en-CA"/>
        </w:rPr>
        <w:t>s relative to fiscal year-end</w:t>
      </w:r>
      <w:r w:rsidR="004D0374">
        <w:rPr>
          <w:bCs/>
          <w:lang w:val="en-CA"/>
        </w:rPr>
        <w:t>,</w:t>
      </w:r>
      <w:r w:rsidR="00FC7C95">
        <w:rPr>
          <w:bCs/>
          <w:lang w:val="en-CA"/>
        </w:rPr>
        <w:t xml:space="preserve"> both pooled and by i</w:t>
      </w:r>
      <w:r>
        <w:rPr>
          <w:bCs/>
          <w:lang w:val="en-CA"/>
        </w:rPr>
        <w:t>tem</w:t>
      </w:r>
      <w:r w:rsidR="004D0374">
        <w:rPr>
          <w:bCs/>
          <w:lang w:val="en-CA"/>
        </w:rPr>
        <w:t>,</w:t>
      </w:r>
      <w:r>
        <w:rPr>
          <w:bCs/>
          <w:lang w:val="en-CA"/>
        </w:rPr>
        <w:t xml:space="preserve"> and find similar results. Second, we restrict the sample to the </w:t>
      </w:r>
      <w:r w:rsidR="006A44B1">
        <w:rPr>
          <w:bCs/>
          <w:lang w:val="en-CA"/>
        </w:rPr>
        <w:t xml:space="preserve">non-earnings </w:t>
      </w:r>
      <w:r>
        <w:rPr>
          <w:bCs/>
          <w:lang w:val="en-CA"/>
        </w:rPr>
        <w:t xml:space="preserve">8-K reports that </w:t>
      </w:r>
      <w:r w:rsidR="006D377E">
        <w:rPr>
          <w:bCs/>
          <w:lang w:val="en-CA"/>
        </w:rPr>
        <w:t>triggered</w:t>
      </w:r>
      <w:r>
        <w:rPr>
          <w:bCs/>
          <w:lang w:val="en-CA"/>
        </w:rPr>
        <w:t xml:space="preserve"> partial reaction, i.e. at least one analyst reacted and at least one analyst did not react. As reported above, this requirement reduces the sample of 8-K significantly</w:t>
      </w:r>
      <w:r w:rsidR="004D0374">
        <w:rPr>
          <w:bCs/>
          <w:lang w:val="en-CA"/>
        </w:rPr>
        <w:t>,</w:t>
      </w:r>
      <w:r>
        <w:rPr>
          <w:bCs/>
          <w:lang w:val="en-CA"/>
        </w:rPr>
        <w:t xml:space="preserve"> yet the results are simi</w:t>
      </w:r>
      <w:r w:rsidR="00387D4C">
        <w:rPr>
          <w:bCs/>
          <w:lang w:val="en-CA"/>
        </w:rPr>
        <w:t>lar to those reported. Third, to eliminate the possibility that the results are driven by stalled forecasts, we include in the Forecast Period forecasts that were issued no more than 30 days prior to the 8-K filing date. Again, the results are consistent with those reported.</w:t>
      </w:r>
    </w:p>
    <w:p w:rsidR="004B5020" w:rsidRDefault="00387D4C" w:rsidP="00630958">
      <w:pPr>
        <w:spacing w:line="480" w:lineRule="auto"/>
        <w:ind w:firstLine="567"/>
        <w:jc w:val="both"/>
        <w:rPr>
          <w:bCs/>
          <w:lang w:val="en-CA"/>
        </w:rPr>
      </w:pPr>
      <w:r>
        <w:rPr>
          <w:bCs/>
          <w:lang w:val="en-CA"/>
        </w:rPr>
        <w:t xml:space="preserve">Overall, </w:t>
      </w:r>
      <w:r w:rsidR="00FC7C95">
        <w:rPr>
          <w:bCs/>
          <w:lang w:val="en-CA"/>
        </w:rPr>
        <w:t>we find that</w:t>
      </w:r>
      <w:r>
        <w:rPr>
          <w:bCs/>
          <w:lang w:val="en-CA"/>
        </w:rPr>
        <w:t xml:space="preserve"> forecasts issued following an 8-K are more accurate than other </w:t>
      </w:r>
      <w:r w:rsidR="006D377E">
        <w:rPr>
          <w:bCs/>
          <w:lang w:val="en-CA"/>
        </w:rPr>
        <w:t>contemporaneous</w:t>
      </w:r>
      <w:r>
        <w:rPr>
          <w:bCs/>
          <w:lang w:val="en-CA"/>
        </w:rPr>
        <w:t xml:space="preserve"> forecast</w:t>
      </w:r>
      <w:r w:rsidR="00630958">
        <w:rPr>
          <w:bCs/>
          <w:lang w:val="en-CA"/>
        </w:rPr>
        <w:t>s</w:t>
      </w:r>
      <w:r w:rsidR="00FC7C95">
        <w:rPr>
          <w:bCs/>
          <w:lang w:val="en-CA"/>
        </w:rPr>
        <w:t xml:space="preserve">, suggesting that analysts who react to 8-K are more </w:t>
      </w:r>
      <w:r w:rsidR="00096EAF">
        <w:rPr>
          <w:bCs/>
          <w:lang w:val="en-CA"/>
        </w:rPr>
        <w:t>skilful</w:t>
      </w:r>
      <w:r w:rsidR="00FC7C95">
        <w:rPr>
          <w:bCs/>
          <w:lang w:val="en-CA"/>
        </w:rPr>
        <w:t xml:space="preserve"> </w:t>
      </w:r>
      <w:r w:rsidR="00096EAF">
        <w:rPr>
          <w:bCs/>
          <w:lang w:val="en-CA"/>
        </w:rPr>
        <w:t>because</w:t>
      </w:r>
      <w:r w:rsidR="00FC7C95">
        <w:rPr>
          <w:bCs/>
          <w:lang w:val="en-CA"/>
        </w:rPr>
        <w:t xml:space="preserve"> they are able to </w:t>
      </w:r>
      <w:r w:rsidR="00FC7C95">
        <w:rPr>
          <w:rFonts w:asciiTheme="majorBidi" w:hAnsiTheme="majorBidi" w:cstheme="majorBidi"/>
          <w:lang w:bidi="he-IL"/>
        </w:rPr>
        <w:t>interpret non-earnings information and transform it to a meaningful forecast of future earnings</w:t>
      </w:r>
      <w:r>
        <w:rPr>
          <w:bCs/>
          <w:lang w:val="en-CA"/>
        </w:rPr>
        <w:t xml:space="preserve">. </w:t>
      </w:r>
      <w:r w:rsidR="00FC7C95">
        <w:rPr>
          <w:bCs/>
          <w:lang w:val="en-CA"/>
        </w:rPr>
        <w:t>In addition, the results indicate that non-</w:t>
      </w:r>
      <w:r w:rsidR="00FC7C95">
        <w:rPr>
          <w:bCs/>
          <w:lang w:val="en-CA"/>
        </w:rPr>
        <w:lastRenderedPageBreak/>
        <w:t xml:space="preserve">earnings information reported in an 8-K is "future earnings" relevant. </w:t>
      </w:r>
      <w:r w:rsidR="00BF0A1B">
        <w:rPr>
          <w:bCs/>
          <w:lang w:val="en-CA"/>
        </w:rPr>
        <w:t xml:space="preserve">However, we also find variation in the "future earnings" relevance of the various items reported in the 8-K. </w:t>
      </w:r>
    </w:p>
    <w:p w:rsidR="00CA0423" w:rsidRDefault="00CA0423" w:rsidP="00F73119">
      <w:pPr>
        <w:spacing w:line="480" w:lineRule="auto"/>
        <w:jc w:val="both"/>
        <w:rPr>
          <w:b/>
          <w:bCs/>
          <w:sz w:val="28"/>
          <w:szCs w:val="28"/>
          <w:lang w:val="en-CA"/>
        </w:rPr>
      </w:pPr>
    </w:p>
    <w:p w:rsidR="00665FBE" w:rsidRPr="00FC7C95" w:rsidRDefault="00FC7C95" w:rsidP="00F73119">
      <w:pPr>
        <w:spacing w:line="480" w:lineRule="auto"/>
        <w:jc w:val="both"/>
        <w:rPr>
          <w:bCs/>
          <w:i/>
          <w:lang w:val="en-CA"/>
        </w:rPr>
      </w:pPr>
      <w:r>
        <w:rPr>
          <w:bCs/>
          <w:i/>
          <w:lang w:val="en-CA"/>
        </w:rPr>
        <w:t>4.3</w:t>
      </w:r>
      <w:r w:rsidR="00CA0423" w:rsidRPr="00FC7C95">
        <w:rPr>
          <w:bCs/>
          <w:i/>
          <w:lang w:val="en-CA"/>
        </w:rPr>
        <w:t>.</w:t>
      </w:r>
      <w:r w:rsidR="00665FBE" w:rsidRPr="00FC7C95">
        <w:rPr>
          <w:bCs/>
          <w:i/>
          <w:lang w:val="en-CA"/>
        </w:rPr>
        <w:t xml:space="preserve"> Reaction to</w:t>
      </w:r>
      <w:r w:rsidR="00FA55EB" w:rsidRPr="00FC7C95">
        <w:rPr>
          <w:bCs/>
          <w:i/>
          <w:lang w:val="en-CA"/>
        </w:rPr>
        <w:t xml:space="preserve"> non-earnings</w:t>
      </w:r>
      <w:r w:rsidR="00665FBE" w:rsidRPr="00FC7C95">
        <w:rPr>
          <w:bCs/>
          <w:i/>
          <w:lang w:val="en-CA"/>
        </w:rPr>
        <w:t xml:space="preserve"> 8-K and </w:t>
      </w:r>
      <w:r w:rsidRPr="00FC7C95">
        <w:rPr>
          <w:bCs/>
          <w:i/>
          <w:lang w:val="en-CA"/>
        </w:rPr>
        <w:t xml:space="preserve">Future </w:t>
      </w:r>
      <w:r w:rsidR="00665FBE" w:rsidRPr="00FC7C95">
        <w:rPr>
          <w:bCs/>
          <w:i/>
          <w:lang w:val="en-CA"/>
        </w:rPr>
        <w:t>Analyst Performance</w:t>
      </w:r>
    </w:p>
    <w:p w:rsidR="00665FBE" w:rsidRDefault="00665FBE" w:rsidP="00F73119">
      <w:pPr>
        <w:spacing w:line="480" w:lineRule="auto"/>
        <w:ind w:firstLine="567"/>
        <w:jc w:val="both"/>
        <w:rPr>
          <w:bCs/>
          <w:lang w:val="en-CA"/>
        </w:rPr>
      </w:pPr>
      <w:r>
        <w:rPr>
          <w:bCs/>
          <w:lang w:val="en-CA"/>
        </w:rPr>
        <w:t>The results thus far indicate that non-earnings information included in 8-K report</w:t>
      </w:r>
      <w:r w:rsidR="00226DFF">
        <w:rPr>
          <w:bCs/>
          <w:lang w:val="en-CA"/>
        </w:rPr>
        <w:t>s</w:t>
      </w:r>
      <w:r>
        <w:rPr>
          <w:bCs/>
          <w:lang w:val="en-CA"/>
        </w:rPr>
        <w:t xml:space="preserve"> can be useful in predicting future earnings</w:t>
      </w:r>
      <w:r w:rsidR="006508D1">
        <w:rPr>
          <w:bCs/>
          <w:lang w:val="en-CA"/>
        </w:rPr>
        <w:t xml:space="preserve">, yet not all analysts react to the release of 8-K reports, and the reaction to the reports appears to be low. One potential explanation for the low reaction is that analysts differ in their ability to process and interpret non-earnings information and to transform the information into a meaningful forecast. </w:t>
      </w:r>
      <w:r w:rsidR="0010207E">
        <w:rPr>
          <w:bCs/>
          <w:lang w:val="en-CA"/>
        </w:rPr>
        <w:t xml:space="preserve">While there are several factors that affect analysts' </w:t>
      </w:r>
      <w:r w:rsidR="006D377E">
        <w:rPr>
          <w:bCs/>
          <w:lang w:val="en-CA"/>
        </w:rPr>
        <w:t>cognitive</w:t>
      </w:r>
      <w:r w:rsidR="0010207E">
        <w:rPr>
          <w:bCs/>
          <w:lang w:val="en-CA"/>
        </w:rPr>
        <w:t xml:space="preserve"> ability and  performance, we conjecture that the reaction to non-earnings information can be used as a proxy for cognitive ability of the analyst and therefore his/her performance. We base this conjecture on our findings that non-earnings information is relevant for future earnings and that not all analysts react to the information. </w:t>
      </w:r>
      <w:r w:rsidR="00F3712C">
        <w:rPr>
          <w:bCs/>
          <w:lang w:val="en-CA"/>
        </w:rPr>
        <w:t>Given that the 8-K is publicly available, non-reacti</w:t>
      </w:r>
      <w:r w:rsidR="00BF7BF8">
        <w:rPr>
          <w:bCs/>
          <w:lang w:val="en-CA"/>
        </w:rPr>
        <w:t>on to the information implies that the</w:t>
      </w:r>
      <w:r w:rsidR="00F3712C">
        <w:rPr>
          <w:bCs/>
          <w:lang w:val="en-CA"/>
        </w:rPr>
        <w:t xml:space="preserve"> </w:t>
      </w:r>
      <w:r w:rsidR="0010207E">
        <w:rPr>
          <w:bCs/>
          <w:lang w:val="en-CA"/>
        </w:rPr>
        <w:t>analys</w:t>
      </w:r>
      <w:r w:rsidR="00F3712C">
        <w:rPr>
          <w:bCs/>
          <w:lang w:val="en-CA"/>
        </w:rPr>
        <w:t>t do</w:t>
      </w:r>
      <w:r w:rsidR="00BF7BF8">
        <w:rPr>
          <w:bCs/>
          <w:lang w:val="en-CA"/>
        </w:rPr>
        <w:t>es</w:t>
      </w:r>
      <w:r w:rsidR="00F3712C">
        <w:rPr>
          <w:bCs/>
          <w:lang w:val="en-CA"/>
        </w:rPr>
        <w:t xml:space="preserve"> not know how to interpret the information or</w:t>
      </w:r>
      <w:r w:rsidR="00826CFC">
        <w:rPr>
          <w:bCs/>
          <w:lang w:val="en-CA"/>
        </w:rPr>
        <w:t>,</w:t>
      </w:r>
      <w:r w:rsidR="00F3712C">
        <w:rPr>
          <w:bCs/>
          <w:lang w:val="en-CA"/>
        </w:rPr>
        <w:t xml:space="preserve"> alternatively</w:t>
      </w:r>
      <w:r w:rsidR="00826CFC">
        <w:rPr>
          <w:bCs/>
          <w:lang w:val="en-CA"/>
        </w:rPr>
        <w:t>,</w:t>
      </w:r>
      <w:r w:rsidR="00F3712C">
        <w:rPr>
          <w:bCs/>
          <w:lang w:val="en-CA"/>
        </w:rPr>
        <w:t xml:space="preserve"> </w:t>
      </w:r>
      <w:r w:rsidR="00BF7BF8">
        <w:rPr>
          <w:bCs/>
          <w:lang w:val="en-CA"/>
        </w:rPr>
        <w:t xml:space="preserve">that the analyst </w:t>
      </w:r>
      <w:r w:rsidR="006D377E">
        <w:rPr>
          <w:bCs/>
          <w:lang w:val="en-CA"/>
        </w:rPr>
        <w:t>believes</w:t>
      </w:r>
      <w:r w:rsidR="00F3712C">
        <w:rPr>
          <w:bCs/>
          <w:lang w:val="en-CA"/>
        </w:rPr>
        <w:t xml:space="preserve"> that the information is not related to future earnings. Either way, the non-reaction </w:t>
      </w:r>
      <w:r w:rsidR="006D377E">
        <w:rPr>
          <w:bCs/>
          <w:lang w:val="en-CA"/>
        </w:rPr>
        <w:t>suggests</w:t>
      </w:r>
      <w:r w:rsidR="00F3712C">
        <w:rPr>
          <w:bCs/>
          <w:lang w:val="en-CA"/>
        </w:rPr>
        <w:t xml:space="preserve"> that such analysts potentially have lower skills or ability in comparison to analysts who do react to the information.</w:t>
      </w:r>
    </w:p>
    <w:p w:rsidR="000C2E48" w:rsidRDefault="00F3712C" w:rsidP="001A00D1">
      <w:pPr>
        <w:spacing w:line="480" w:lineRule="auto"/>
        <w:ind w:firstLine="567"/>
        <w:jc w:val="both"/>
        <w:rPr>
          <w:bCs/>
          <w:lang w:val="en-CA"/>
        </w:rPr>
      </w:pPr>
      <w:r>
        <w:rPr>
          <w:bCs/>
          <w:lang w:val="en-CA"/>
        </w:rPr>
        <w:t>We measure analyst's ability using his/her Cumulative Reaction Ratio (CRR). Specifically, we measure CRR at the firm-year-analyst level as the cumulative number of 8-K reports filed by the company to which the analyst reacted scaled by the total number of 8-K reports filed by company.</w:t>
      </w:r>
      <w:r w:rsidR="00B0631F">
        <w:rPr>
          <w:bCs/>
          <w:lang w:val="en-CA"/>
        </w:rPr>
        <w:t xml:space="preserve"> </w:t>
      </w:r>
      <w:r w:rsidR="00297ED9">
        <w:rPr>
          <w:bCs/>
          <w:lang w:val="en-CA"/>
        </w:rPr>
        <w:t>As before, w</w:t>
      </w:r>
      <w:r w:rsidR="00B0631F">
        <w:rPr>
          <w:bCs/>
          <w:lang w:val="en-CA"/>
        </w:rPr>
        <w:t>e include only 8-K reports without earnings information (i.e. we exclude all 8-K including Item 2.02).</w:t>
      </w:r>
      <w:r>
        <w:rPr>
          <w:bCs/>
          <w:lang w:val="en-CA"/>
        </w:rPr>
        <w:t xml:space="preserve"> The ratio </w:t>
      </w:r>
      <w:r>
        <w:rPr>
          <w:bCs/>
          <w:lang w:val="en-CA"/>
        </w:rPr>
        <w:lastRenderedPageBreak/>
        <w:t xml:space="preserve">is computed as of the beginning of the fiscal year. For example, the CRR for analyst </w:t>
      </w:r>
      <w:r w:rsidR="00C04A1A" w:rsidRPr="00EE241D">
        <w:rPr>
          <w:bCs/>
          <w:i/>
          <w:lang w:val="en-CA"/>
        </w:rPr>
        <w:t xml:space="preserve">i </w:t>
      </w:r>
      <w:r>
        <w:rPr>
          <w:bCs/>
          <w:lang w:val="en-CA"/>
        </w:rPr>
        <w:t>with respect to firm</w:t>
      </w:r>
      <w:r w:rsidRPr="00EE241D">
        <w:rPr>
          <w:bCs/>
          <w:i/>
          <w:lang w:val="en-CA"/>
        </w:rPr>
        <w:t xml:space="preserve"> </w:t>
      </w:r>
      <w:r w:rsidR="00C04A1A" w:rsidRPr="00EE241D">
        <w:rPr>
          <w:bCs/>
          <w:i/>
          <w:lang w:val="en-CA"/>
        </w:rPr>
        <w:t>j</w:t>
      </w:r>
      <w:r>
        <w:rPr>
          <w:bCs/>
          <w:lang w:val="en-CA"/>
        </w:rPr>
        <w:t xml:space="preserve"> in </w:t>
      </w:r>
      <w:r w:rsidR="009B2E97">
        <w:rPr>
          <w:bCs/>
          <w:lang w:val="en-CA"/>
        </w:rPr>
        <w:t>year</w:t>
      </w:r>
      <w:r w:rsidR="009B2E97" w:rsidRPr="00EE241D">
        <w:rPr>
          <w:bCs/>
          <w:i/>
          <w:lang w:val="en-CA"/>
        </w:rPr>
        <w:t xml:space="preserve"> t</w:t>
      </w:r>
      <w:r>
        <w:rPr>
          <w:bCs/>
          <w:lang w:val="en-CA"/>
        </w:rPr>
        <w:t xml:space="preserve"> is computed as the total number of 8-K to which the analyst reacted from the beginning of the sample (2005) through </w:t>
      </w:r>
      <w:r w:rsidR="009B2E97">
        <w:rPr>
          <w:bCs/>
          <w:lang w:val="en-CA"/>
        </w:rPr>
        <w:t xml:space="preserve">year </w:t>
      </w:r>
      <w:r w:rsidR="009B2E97" w:rsidRPr="00EE241D">
        <w:rPr>
          <w:bCs/>
          <w:i/>
          <w:lang w:val="en-CA"/>
        </w:rPr>
        <w:t>t</w:t>
      </w:r>
      <w:r w:rsidR="009B2E97">
        <w:rPr>
          <w:bCs/>
          <w:lang w:val="en-CA"/>
        </w:rPr>
        <w:t>-1</w:t>
      </w:r>
      <w:r>
        <w:rPr>
          <w:bCs/>
          <w:lang w:val="en-CA"/>
        </w:rPr>
        <w:t xml:space="preserve"> divided by the total number of 8-K reports filed by </w:t>
      </w:r>
      <w:r w:rsidR="009B2E97">
        <w:rPr>
          <w:bCs/>
          <w:lang w:val="en-CA"/>
        </w:rPr>
        <w:t>firm</w:t>
      </w:r>
      <w:r>
        <w:rPr>
          <w:bCs/>
          <w:lang w:val="en-CA"/>
        </w:rPr>
        <w:t xml:space="preserve"> </w:t>
      </w:r>
      <w:r w:rsidR="00C04A1A" w:rsidRPr="00EE241D">
        <w:rPr>
          <w:bCs/>
          <w:i/>
          <w:lang w:val="en-CA"/>
        </w:rPr>
        <w:t>j</w:t>
      </w:r>
      <w:r>
        <w:rPr>
          <w:bCs/>
          <w:lang w:val="en-CA"/>
        </w:rPr>
        <w:t>.</w:t>
      </w:r>
      <w:r w:rsidR="00B0631F">
        <w:rPr>
          <w:bCs/>
          <w:lang w:val="en-CA"/>
        </w:rPr>
        <w:t xml:space="preserve"> </w:t>
      </w:r>
      <w:r w:rsidR="00892984">
        <w:rPr>
          <w:bCs/>
          <w:lang w:val="en-CA"/>
        </w:rPr>
        <w:t xml:space="preserve">We use the cumulative amounts in computing CRR because the </w:t>
      </w:r>
      <w:r w:rsidR="00E43C88">
        <w:rPr>
          <w:bCs/>
          <w:lang w:val="en-CA"/>
        </w:rPr>
        <w:t>filing</w:t>
      </w:r>
      <w:r w:rsidR="00892984">
        <w:rPr>
          <w:bCs/>
          <w:lang w:val="en-CA"/>
        </w:rPr>
        <w:t xml:space="preserve"> of 8-K reports is largely </w:t>
      </w:r>
      <w:r w:rsidR="006D377E">
        <w:rPr>
          <w:bCs/>
          <w:lang w:val="en-CA"/>
        </w:rPr>
        <w:t>idiosyncratic</w:t>
      </w:r>
      <w:r w:rsidR="00892984">
        <w:rPr>
          <w:bCs/>
          <w:lang w:val="en-CA"/>
        </w:rPr>
        <w:t xml:space="preserve"> </w:t>
      </w:r>
      <w:r w:rsidR="00E43C88">
        <w:rPr>
          <w:bCs/>
          <w:lang w:val="en-CA"/>
        </w:rPr>
        <w:t xml:space="preserve">as it depends on the </w:t>
      </w:r>
      <w:r w:rsidR="00096EAF">
        <w:rPr>
          <w:bCs/>
          <w:lang w:val="en-CA"/>
        </w:rPr>
        <w:t>occurrence</w:t>
      </w:r>
      <w:r w:rsidR="00E43C88">
        <w:rPr>
          <w:bCs/>
          <w:lang w:val="en-CA"/>
        </w:rPr>
        <w:t xml:space="preserve"> of events that necessitate 8-K filing</w:t>
      </w:r>
      <w:r w:rsidR="000C2E48">
        <w:rPr>
          <w:bCs/>
          <w:lang w:val="en-CA"/>
        </w:rPr>
        <w:t>;</w:t>
      </w:r>
      <w:r w:rsidR="00E43C88">
        <w:rPr>
          <w:bCs/>
          <w:lang w:val="en-CA"/>
        </w:rPr>
        <w:t>consequently</w:t>
      </w:r>
      <w:r w:rsidR="000C2E48">
        <w:rPr>
          <w:bCs/>
          <w:lang w:val="en-CA"/>
        </w:rPr>
        <w:t>,</w:t>
      </w:r>
      <w:r w:rsidR="00E43C88">
        <w:rPr>
          <w:bCs/>
          <w:lang w:val="en-CA"/>
        </w:rPr>
        <w:t xml:space="preserve"> there are large variations </w:t>
      </w:r>
      <w:r w:rsidR="00892984">
        <w:rPr>
          <w:bCs/>
          <w:lang w:val="en-CA"/>
        </w:rPr>
        <w:t>over time</w:t>
      </w:r>
      <w:r w:rsidR="00E43C88">
        <w:rPr>
          <w:bCs/>
          <w:lang w:val="en-CA"/>
        </w:rPr>
        <w:t xml:space="preserve"> in the number and content of 8-K reports filed by the company</w:t>
      </w:r>
      <w:r w:rsidR="00892984">
        <w:rPr>
          <w:bCs/>
          <w:lang w:val="en-CA"/>
        </w:rPr>
        <w:t>. In addition, t</w:t>
      </w:r>
      <w:r w:rsidR="00B0631F">
        <w:rPr>
          <w:bCs/>
          <w:lang w:val="en-CA"/>
        </w:rPr>
        <w:t>he CRR is analyst-firm specific. In other words, the analyst'</w:t>
      </w:r>
      <w:r w:rsidR="00E43C88">
        <w:rPr>
          <w:bCs/>
          <w:lang w:val="en-CA"/>
        </w:rPr>
        <w:t>s</w:t>
      </w:r>
      <w:r w:rsidR="00B0631F">
        <w:rPr>
          <w:bCs/>
          <w:lang w:val="en-CA"/>
        </w:rPr>
        <w:t xml:space="preserve"> CRR can differ across the companies </w:t>
      </w:r>
      <w:r w:rsidR="00E43C88">
        <w:rPr>
          <w:bCs/>
          <w:lang w:val="en-CA"/>
        </w:rPr>
        <w:t xml:space="preserve">she </w:t>
      </w:r>
      <w:r w:rsidR="00B0631F">
        <w:rPr>
          <w:bCs/>
          <w:lang w:val="en-CA"/>
        </w:rPr>
        <w:t>cover</w:t>
      </w:r>
      <w:r w:rsidR="00E43C88">
        <w:rPr>
          <w:bCs/>
          <w:lang w:val="en-CA"/>
        </w:rPr>
        <w:t>s</w:t>
      </w:r>
      <w:r w:rsidR="00B0631F">
        <w:rPr>
          <w:bCs/>
          <w:lang w:val="en-CA"/>
        </w:rPr>
        <w:t xml:space="preserve">. </w:t>
      </w:r>
    </w:p>
    <w:p w:rsidR="00F3712C" w:rsidRDefault="00892984" w:rsidP="001A00D1">
      <w:pPr>
        <w:spacing w:line="480" w:lineRule="auto"/>
        <w:ind w:firstLine="567"/>
        <w:jc w:val="both"/>
        <w:rPr>
          <w:bCs/>
          <w:lang w:val="en-CA"/>
        </w:rPr>
      </w:pPr>
      <w:r>
        <w:rPr>
          <w:bCs/>
          <w:lang w:val="en-CA"/>
        </w:rPr>
        <w:t>There are several advantages for using analyst-firm specific CRR. First, analyst</w:t>
      </w:r>
      <w:r w:rsidR="00E43C88">
        <w:rPr>
          <w:bCs/>
          <w:lang w:val="en-CA"/>
        </w:rPr>
        <w:t>'s</w:t>
      </w:r>
      <w:r>
        <w:rPr>
          <w:bCs/>
          <w:lang w:val="en-CA"/>
        </w:rPr>
        <w:t xml:space="preserve"> ability to interpret non-earnings information may differ from company to company </w:t>
      </w:r>
      <w:r w:rsidR="000C2E48">
        <w:rPr>
          <w:bCs/>
          <w:lang w:val="en-CA"/>
        </w:rPr>
        <w:t>due to</w:t>
      </w:r>
      <w:r>
        <w:rPr>
          <w:bCs/>
          <w:lang w:val="en-CA"/>
        </w:rPr>
        <w:t xml:space="preserve"> the experience of the analyst with each company and differences across companies</w:t>
      </w:r>
      <w:r w:rsidR="00251EA7">
        <w:rPr>
          <w:bCs/>
          <w:lang w:val="en-CA"/>
        </w:rPr>
        <w:t>.</w:t>
      </w:r>
      <w:r>
        <w:rPr>
          <w:bCs/>
          <w:lang w:val="en-CA"/>
        </w:rPr>
        <w:t xml:space="preserve"> Second, firms differ in the 8-K reports submitted and therefore aggregation of reaction across firms is less meaningful. Specifically, the </w:t>
      </w:r>
      <w:r w:rsidR="006D377E">
        <w:rPr>
          <w:bCs/>
          <w:lang w:val="en-CA"/>
        </w:rPr>
        <w:t>distribution</w:t>
      </w:r>
      <w:r>
        <w:rPr>
          <w:bCs/>
          <w:lang w:val="en-CA"/>
        </w:rPr>
        <w:t xml:space="preserve"> of </w:t>
      </w:r>
      <w:r w:rsidR="00E43C88">
        <w:rPr>
          <w:bCs/>
          <w:lang w:val="en-CA"/>
        </w:rPr>
        <w:t>i</w:t>
      </w:r>
      <w:r>
        <w:rPr>
          <w:bCs/>
          <w:lang w:val="en-CA"/>
        </w:rPr>
        <w:t xml:space="preserve">tems reported </w:t>
      </w:r>
      <w:r w:rsidR="00F5202B">
        <w:rPr>
          <w:bCs/>
          <w:lang w:val="en-CA"/>
        </w:rPr>
        <w:t>in 8-K can differ across companies (</w:t>
      </w:r>
      <w:r w:rsidR="006D377E">
        <w:rPr>
          <w:bCs/>
          <w:lang w:val="en-CA"/>
        </w:rPr>
        <w:t>e.g.</w:t>
      </w:r>
      <w:r w:rsidR="00F5202B">
        <w:rPr>
          <w:bCs/>
          <w:lang w:val="en-CA"/>
        </w:rPr>
        <w:t xml:space="preserve"> some firms are more prone to restate or to record impairments)</w:t>
      </w:r>
      <w:r w:rsidR="000C2E48">
        <w:rPr>
          <w:bCs/>
          <w:lang w:val="en-CA"/>
        </w:rPr>
        <w:t>,</w:t>
      </w:r>
      <w:r w:rsidR="00F5202B">
        <w:rPr>
          <w:bCs/>
          <w:lang w:val="en-CA"/>
        </w:rPr>
        <w:t xml:space="preserve"> and so does the reaction ratio </w:t>
      </w:r>
      <w:r w:rsidR="001A00D1">
        <w:rPr>
          <w:bCs/>
          <w:lang w:val="en-CA"/>
        </w:rPr>
        <w:t xml:space="preserve">as </w:t>
      </w:r>
      <w:r w:rsidR="00F5202B">
        <w:rPr>
          <w:bCs/>
          <w:lang w:val="en-CA"/>
        </w:rPr>
        <w:t xml:space="preserve">we </w:t>
      </w:r>
      <w:r w:rsidR="001A00D1">
        <w:rPr>
          <w:bCs/>
          <w:lang w:val="en-CA"/>
        </w:rPr>
        <w:t xml:space="preserve">have </w:t>
      </w:r>
      <w:r w:rsidR="00F5202B">
        <w:rPr>
          <w:bCs/>
          <w:lang w:val="en-CA"/>
        </w:rPr>
        <w:t xml:space="preserve">already </w:t>
      </w:r>
      <w:r w:rsidR="001A00D1">
        <w:rPr>
          <w:bCs/>
          <w:lang w:val="en-CA"/>
        </w:rPr>
        <w:t xml:space="preserve">seen </w:t>
      </w:r>
      <w:r w:rsidR="00F5202B">
        <w:rPr>
          <w:bCs/>
          <w:lang w:val="en-CA"/>
        </w:rPr>
        <w:t xml:space="preserve">that </w:t>
      </w:r>
      <w:r w:rsidR="006D377E">
        <w:rPr>
          <w:bCs/>
          <w:lang w:val="en-CA"/>
        </w:rPr>
        <w:t>certain</w:t>
      </w:r>
      <w:r w:rsidR="00F5202B">
        <w:rPr>
          <w:bCs/>
          <w:lang w:val="en-CA"/>
        </w:rPr>
        <w:t xml:space="preserve"> </w:t>
      </w:r>
      <w:r w:rsidR="00E43C88">
        <w:rPr>
          <w:bCs/>
          <w:lang w:val="en-CA"/>
        </w:rPr>
        <w:t>i</w:t>
      </w:r>
      <w:r w:rsidR="00F5202B">
        <w:rPr>
          <w:bCs/>
          <w:lang w:val="en-CA"/>
        </w:rPr>
        <w:t>tems are more "future earning relevant".</w:t>
      </w:r>
    </w:p>
    <w:p w:rsidR="008669AC" w:rsidRDefault="001F5A4F" w:rsidP="001A00D1">
      <w:pPr>
        <w:spacing w:line="480" w:lineRule="auto"/>
        <w:ind w:firstLine="567"/>
        <w:jc w:val="both"/>
        <w:rPr>
          <w:bCs/>
          <w:lang w:bidi="he-IL"/>
        </w:rPr>
      </w:pPr>
      <w:r>
        <w:rPr>
          <w:bCs/>
          <w:lang w:bidi="he-IL"/>
        </w:rPr>
        <w:t>Similar to De Fr</w:t>
      </w:r>
      <w:r w:rsidR="001A00D1">
        <w:rPr>
          <w:bCs/>
          <w:lang w:bidi="he-IL"/>
        </w:rPr>
        <w:t>an</w:t>
      </w:r>
      <w:r>
        <w:rPr>
          <w:bCs/>
          <w:lang w:bidi="he-IL"/>
        </w:rPr>
        <w:t xml:space="preserve">co and Zhou (2009), our two main measures of </w:t>
      </w:r>
      <w:r w:rsidR="006D377E">
        <w:rPr>
          <w:bCs/>
          <w:lang w:bidi="he-IL"/>
        </w:rPr>
        <w:t>performance</w:t>
      </w:r>
      <w:r>
        <w:rPr>
          <w:bCs/>
          <w:lang w:bidi="he-IL"/>
        </w:rPr>
        <w:t xml:space="preserve"> are accuracy and timeliness, which reflect the ability of the analyst to use and generate information. We also use boldness as a measure of analysts' independence, and degree of optimism</w:t>
      </w:r>
      <w:r w:rsidR="000C2E48">
        <w:rPr>
          <w:bCs/>
          <w:lang w:bidi="he-IL"/>
        </w:rPr>
        <w:t>,</w:t>
      </w:r>
      <w:r>
        <w:rPr>
          <w:bCs/>
          <w:lang w:bidi="he-IL"/>
        </w:rPr>
        <w:t xml:space="preserve"> which captures the bias in the analyst'</w:t>
      </w:r>
      <w:r w:rsidR="000C2E48">
        <w:rPr>
          <w:bCs/>
          <w:lang w:bidi="he-IL"/>
        </w:rPr>
        <w:t>s</w:t>
      </w:r>
      <w:r>
        <w:rPr>
          <w:bCs/>
          <w:lang w:bidi="he-IL"/>
        </w:rPr>
        <w:t xml:space="preserve"> forecast.</w:t>
      </w:r>
      <w:r w:rsidRPr="001F5A4F">
        <w:rPr>
          <w:bCs/>
          <w:lang w:bidi="he-IL"/>
        </w:rPr>
        <w:t xml:space="preserve"> </w:t>
      </w:r>
      <w:r w:rsidR="008669AC">
        <w:rPr>
          <w:bCs/>
          <w:lang w:bidi="he-IL"/>
        </w:rPr>
        <w:t xml:space="preserve">We expect positive association </w:t>
      </w:r>
      <w:r w:rsidR="006D377E">
        <w:rPr>
          <w:bCs/>
          <w:lang w:bidi="he-IL"/>
        </w:rPr>
        <w:t>between</w:t>
      </w:r>
      <w:r w:rsidR="008669AC">
        <w:rPr>
          <w:bCs/>
          <w:lang w:bidi="he-IL"/>
        </w:rPr>
        <w:t xml:space="preserve"> accuracy and CRR. Since we measure accuracy as </w:t>
      </w:r>
      <w:r w:rsidR="00772653">
        <w:rPr>
          <w:bCs/>
          <w:lang w:bidi="he-IL"/>
        </w:rPr>
        <w:t>forecast error</w:t>
      </w:r>
      <w:r w:rsidR="000C2E48">
        <w:rPr>
          <w:bCs/>
          <w:lang w:bidi="he-IL"/>
        </w:rPr>
        <w:t>,</w:t>
      </w:r>
      <w:r w:rsidR="00772653">
        <w:rPr>
          <w:bCs/>
          <w:lang w:bidi="he-IL"/>
        </w:rPr>
        <w:t xml:space="preserve"> we expect negative relation between CRR and the forecast error. </w:t>
      </w:r>
      <w:r w:rsidR="00181207" w:rsidRPr="00181207">
        <w:rPr>
          <w:bCs/>
          <w:lang w:bidi="he-IL"/>
        </w:rPr>
        <w:t>Following Cooper et al. (2001)</w:t>
      </w:r>
      <w:r w:rsidR="00181207">
        <w:rPr>
          <w:bCs/>
          <w:lang w:bidi="he-IL"/>
        </w:rPr>
        <w:t xml:space="preserve"> and De Fr</w:t>
      </w:r>
      <w:r w:rsidR="000C2E48">
        <w:rPr>
          <w:bCs/>
          <w:lang w:bidi="he-IL"/>
        </w:rPr>
        <w:t>an</w:t>
      </w:r>
      <w:r w:rsidR="00181207">
        <w:rPr>
          <w:bCs/>
          <w:lang w:bidi="he-IL"/>
        </w:rPr>
        <w:t>co and Zhou (2009)</w:t>
      </w:r>
      <w:r w:rsidR="00181207" w:rsidRPr="00181207">
        <w:rPr>
          <w:bCs/>
          <w:lang w:bidi="he-IL"/>
        </w:rPr>
        <w:t>, our measure of analyst timeliness is based</w:t>
      </w:r>
      <w:r w:rsidR="00181207">
        <w:rPr>
          <w:bCs/>
          <w:lang w:bidi="he-IL"/>
        </w:rPr>
        <w:t xml:space="preserve"> on the number of days between the analyst forecast and the </w:t>
      </w:r>
      <w:r w:rsidR="00181207">
        <w:rPr>
          <w:bCs/>
          <w:lang w:bidi="he-IL"/>
        </w:rPr>
        <w:lastRenderedPageBreak/>
        <w:t xml:space="preserve">forecast by other analysts that precede and follow it. Specifically, for each forecast we compute </w:t>
      </w:r>
      <w:r w:rsidR="008669AC">
        <w:rPr>
          <w:bCs/>
          <w:lang w:bidi="he-IL"/>
        </w:rPr>
        <w:t>L</w:t>
      </w:r>
      <w:r w:rsidR="00181207">
        <w:rPr>
          <w:bCs/>
          <w:lang w:bidi="he-IL"/>
        </w:rPr>
        <w:t xml:space="preserve">eading </w:t>
      </w:r>
      <w:r w:rsidR="008669AC">
        <w:rPr>
          <w:bCs/>
          <w:lang w:bidi="he-IL"/>
        </w:rPr>
        <w:t>D</w:t>
      </w:r>
      <w:r w:rsidR="00181207">
        <w:rPr>
          <w:bCs/>
          <w:lang w:bidi="he-IL"/>
        </w:rPr>
        <w:t xml:space="preserve">ays as the number of days between the forecast and the </w:t>
      </w:r>
      <w:r w:rsidR="008669AC">
        <w:rPr>
          <w:bCs/>
          <w:lang w:bidi="he-IL"/>
        </w:rPr>
        <w:t xml:space="preserve">two </w:t>
      </w:r>
      <w:r w:rsidR="00181207">
        <w:rPr>
          <w:bCs/>
          <w:lang w:bidi="he-IL"/>
        </w:rPr>
        <w:t>most immediate forecast</w:t>
      </w:r>
      <w:r w:rsidR="008669AC">
        <w:rPr>
          <w:bCs/>
          <w:lang w:bidi="he-IL"/>
        </w:rPr>
        <w:t>s</w:t>
      </w:r>
      <w:r w:rsidR="00181207">
        <w:rPr>
          <w:bCs/>
          <w:lang w:bidi="he-IL"/>
        </w:rPr>
        <w:t xml:space="preserve"> by any </w:t>
      </w:r>
      <w:r w:rsidR="008669AC">
        <w:rPr>
          <w:bCs/>
          <w:lang w:bidi="he-IL"/>
        </w:rPr>
        <w:t xml:space="preserve">other </w:t>
      </w:r>
      <w:r w:rsidR="00181207">
        <w:rPr>
          <w:bCs/>
          <w:lang w:bidi="he-IL"/>
        </w:rPr>
        <w:t xml:space="preserve">analyst </w:t>
      </w:r>
      <w:r w:rsidR="001F017B">
        <w:rPr>
          <w:bCs/>
          <w:lang w:bidi="he-IL"/>
        </w:rPr>
        <w:t xml:space="preserve">preceding </w:t>
      </w:r>
      <w:r w:rsidR="008669AC">
        <w:rPr>
          <w:bCs/>
          <w:lang w:bidi="he-IL"/>
        </w:rPr>
        <w:t>the forecast date. Similarly, we compute Following Days as the number of days between the analyst forecast and the two most recent forecast</w:t>
      </w:r>
      <w:r w:rsidR="00EC5F5D">
        <w:rPr>
          <w:bCs/>
          <w:lang w:bidi="he-IL"/>
        </w:rPr>
        <w:t>s</w:t>
      </w:r>
      <w:r w:rsidR="008669AC">
        <w:rPr>
          <w:bCs/>
          <w:lang w:bidi="he-IL"/>
        </w:rPr>
        <w:t xml:space="preserve"> by any other analysts issued </w:t>
      </w:r>
      <w:r w:rsidR="001F017B">
        <w:rPr>
          <w:bCs/>
          <w:lang w:bidi="he-IL"/>
        </w:rPr>
        <w:t xml:space="preserve">after </w:t>
      </w:r>
      <w:r w:rsidR="008669AC">
        <w:rPr>
          <w:bCs/>
          <w:lang w:bidi="he-IL"/>
        </w:rPr>
        <w:t xml:space="preserve">to the forecast date. We compute Timeliness as the ratio of leading days to following days. A </w:t>
      </w:r>
      <w:r w:rsidR="00251EA7">
        <w:rPr>
          <w:bCs/>
          <w:lang w:bidi="he-IL"/>
        </w:rPr>
        <w:t>timelier</w:t>
      </w:r>
      <w:r w:rsidR="008669AC">
        <w:rPr>
          <w:bCs/>
          <w:lang w:bidi="he-IL"/>
        </w:rPr>
        <w:t xml:space="preserve"> forecast indicates either that the analyst reacts to the new information more quickly, and/or that other analysts react to the news in the analyst'</w:t>
      </w:r>
      <w:r w:rsidR="000C2E48">
        <w:rPr>
          <w:bCs/>
          <w:lang w:bidi="he-IL"/>
        </w:rPr>
        <w:t>s</w:t>
      </w:r>
      <w:r w:rsidR="008669AC">
        <w:rPr>
          <w:bCs/>
          <w:lang w:bidi="he-IL"/>
        </w:rPr>
        <w:t xml:space="preserve"> forecast. Hence, we expect positive association </w:t>
      </w:r>
      <w:r w:rsidR="006D377E">
        <w:rPr>
          <w:bCs/>
          <w:lang w:bidi="he-IL"/>
        </w:rPr>
        <w:t>between</w:t>
      </w:r>
      <w:r w:rsidR="008669AC">
        <w:rPr>
          <w:bCs/>
          <w:lang w:bidi="he-IL"/>
        </w:rPr>
        <w:t xml:space="preserve"> Timeliness and CRR.</w:t>
      </w:r>
      <w:r w:rsidR="00772653">
        <w:rPr>
          <w:rStyle w:val="FootnoteReference"/>
          <w:bCs/>
          <w:lang w:bidi="he-IL"/>
        </w:rPr>
        <w:footnoteReference w:id="12"/>
      </w:r>
      <w:r w:rsidR="008669AC">
        <w:rPr>
          <w:bCs/>
          <w:lang w:bidi="he-IL"/>
        </w:rPr>
        <w:t xml:space="preserve"> </w:t>
      </w:r>
      <w:r w:rsidR="00772653">
        <w:rPr>
          <w:bCs/>
          <w:lang w:bidi="he-IL"/>
        </w:rPr>
        <w:t xml:space="preserve">Boldness </w:t>
      </w:r>
      <w:r w:rsidR="00951AC5">
        <w:rPr>
          <w:bCs/>
          <w:lang w:bidi="he-IL"/>
        </w:rPr>
        <w:t xml:space="preserve">measures the analyst's </w:t>
      </w:r>
      <w:r w:rsidR="00E67F8E">
        <w:rPr>
          <w:bCs/>
          <w:lang w:bidi="he-IL"/>
        </w:rPr>
        <w:t>confidence</w:t>
      </w:r>
      <w:r w:rsidR="00951AC5">
        <w:rPr>
          <w:bCs/>
          <w:lang w:bidi="he-IL"/>
        </w:rPr>
        <w:t xml:space="preserve"> in providing a new forecast that deviates from the consensus, and it </w:t>
      </w:r>
      <w:r w:rsidR="00772653">
        <w:rPr>
          <w:bCs/>
          <w:lang w:bidi="he-IL"/>
        </w:rPr>
        <w:t xml:space="preserve">is computed as the absolute value of the difference between the forecast and the consensus forecast scaled by the beginning of the year price per share. We compute the consensus forecast as the mean of </w:t>
      </w:r>
      <w:r w:rsidR="00772653" w:rsidRPr="00772653">
        <w:rPr>
          <w:bCs/>
          <w:lang w:bidi="he-IL"/>
        </w:rPr>
        <w:t xml:space="preserve">all analysts’ most recent forecasts </w:t>
      </w:r>
      <w:r w:rsidR="00D76BDF">
        <w:rPr>
          <w:bCs/>
          <w:lang w:bidi="he-IL"/>
        </w:rPr>
        <w:t>i</w:t>
      </w:r>
      <w:r w:rsidR="00772653" w:rsidRPr="00772653">
        <w:rPr>
          <w:bCs/>
          <w:lang w:bidi="he-IL"/>
        </w:rPr>
        <w:t xml:space="preserve">ssued during the 90-day period prior to </w:t>
      </w:r>
      <w:r w:rsidR="00D76BDF">
        <w:rPr>
          <w:bCs/>
          <w:lang w:bidi="he-IL"/>
        </w:rPr>
        <w:t xml:space="preserve">the forecast </w:t>
      </w:r>
      <w:r w:rsidR="00772653" w:rsidRPr="00772653">
        <w:rPr>
          <w:bCs/>
          <w:lang w:bidi="he-IL"/>
        </w:rPr>
        <w:t>da</w:t>
      </w:r>
      <w:r w:rsidR="00D76BDF">
        <w:rPr>
          <w:bCs/>
          <w:lang w:bidi="he-IL"/>
        </w:rPr>
        <w:t>te</w:t>
      </w:r>
      <w:r w:rsidR="00772653" w:rsidRPr="00772653">
        <w:rPr>
          <w:bCs/>
          <w:lang w:bidi="he-IL"/>
        </w:rPr>
        <w:t>.</w:t>
      </w:r>
      <w:r w:rsidR="00D76BDF">
        <w:rPr>
          <w:bCs/>
          <w:lang w:bidi="he-IL"/>
        </w:rPr>
        <w:t xml:space="preserve"> Optimism is computed as the difference between the forecast and </w:t>
      </w:r>
      <w:r w:rsidR="00EF38CA">
        <w:rPr>
          <w:bCs/>
          <w:lang w:bidi="he-IL"/>
        </w:rPr>
        <w:t>actual earnings</w:t>
      </w:r>
      <w:r w:rsidR="00D76BDF">
        <w:rPr>
          <w:bCs/>
          <w:lang w:bidi="he-IL"/>
        </w:rPr>
        <w:t xml:space="preserve"> scaled by the beginning of the year price per share.</w:t>
      </w:r>
      <w:r w:rsidR="00EF38CA">
        <w:rPr>
          <w:bCs/>
          <w:lang w:bidi="he-IL"/>
        </w:rPr>
        <w:t xml:space="preserve"> </w:t>
      </w:r>
    </w:p>
    <w:p w:rsidR="0078191C" w:rsidRDefault="0078191C" w:rsidP="00F73119">
      <w:pPr>
        <w:autoSpaceDE w:val="0"/>
        <w:autoSpaceDN w:val="0"/>
        <w:adjustRightInd w:val="0"/>
        <w:spacing w:line="480" w:lineRule="auto"/>
        <w:ind w:firstLine="720"/>
        <w:jc w:val="both"/>
        <w:rPr>
          <w:bCs/>
          <w:lang w:bidi="he-IL"/>
        </w:rPr>
      </w:pPr>
      <w:r w:rsidRPr="0078191C">
        <w:rPr>
          <w:bCs/>
          <w:lang w:bidi="he-IL"/>
        </w:rPr>
        <w:t xml:space="preserve">Prior research (Haw et al., 1994; Mikhail et al., 1997; Maines et al., 1997; Jacob et al., 1999; Duru and Reeb, 2002; Clement, 1999; Clement and Tse, 2003, 2005; Hirst et al., 2004; Malloy, 2005; </w:t>
      </w:r>
      <w:r>
        <w:rPr>
          <w:bCs/>
          <w:lang w:bidi="he-IL"/>
        </w:rPr>
        <w:t>De Franco and Zhou, 2009</w:t>
      </w:r>
      <w:r w:rsidRPr="0078191C">
        <w:rPr>
          <w:bCs/>
          <w:lang w:bidi="he-IL"/>
        </w:rPr>
        <w:t>) documents that analyst performance can be partially explained by analyst characteristics.</w:t>
      </w:r>
      <w:r>
        <w:rPr>
          <w:bCs/>
          <w:lang w:bidi="he-IL"/>
        </w:rPr>
        <w:t xml:space="preserve"> We therefore follow these studies and control for:</w:t>
      </w:r>
    </w:p>
    <w:p w:rsidR="003410CA" w:rsidRPr="00F25385" w:rsidRDefault="003410CA" w:rsidP="00F73119">
      <w:pPr>
        <w:pStyle w:val="ListParagraph"/>
        <w:numPr>
          <w:ilvl w:val="0"/>
          <w:numId w:val="3"/>
        </w:numPr>
        <w:autoSpaceDE w:val="0"/>
        <w:autoSpaceDN w:val="0"/>
        <w:adjustRightInd w:val="0"/>
        <w:spacing w:after="0" w:line="480" w:lineRule="auto"/>
        <w:jc w:val="both"/>
        <w:rPr>
          <w:rFonts w:asciiTheme="majorBidi" w:hAnsiTheme="majorBidi" w:cstheme="majorBidi"/>
          <w:bCs/>
          <w:sz w:val="24"/>
          <w:szCs w:val="24"/>
          <w:lang w:bidi="he-IL"/>
        </w:rPr>
      </w:pPr>
      <w:r w:rsidRPr="00F25385">
        <w:rPr>
          <w:rFonts w:asciiTheme="majorBidi" w:hAnsiTheme="majorBidi" w:cstheme="majorBidi"/>
          <w:bCs/>
          <w:sz w:val="24"/>
          <w:szCs w:val="24"/>
          <w:lang w:bidi="he-IL"/>
        </w:rPr>
        <w:t xml:space="preserve">Analyst's experience in following the firm (Firm Experience) </w:t>
      </w:r>
      <w:r w:rsidR="00C92937">
        <w:rPr>
          <w:b/>
          <w:bCs/>
        </w:rPr>
        <w:t>–</w:t>
      </w:r>
      <w:r w:rsidRPr="00F25385">
        <w:rPr>
          <w:rFonts w:asciiTheme="majorBidi" w:hAnsiTheme="majorBidi" w:cstheme="majorBidi"/>
          <w:bCs/>
          <w:sz w:val="24"/>
          <w:szCs w:val="24"/>
          <w:lang w:bidi="he-IL"/>
        </w:rPr>
        <w:t xml:space="preserve"> the number of years the analyst covers the company as of year </w:t>
      </w:r>
      <w:r w:rsidRPr="00EE241D">
        <w:rPr>
          <w:rFonts w:asciiTheme="majorBidi" w:hAnsiTheme="majorBidi" w:cstheme="majorBidi"/>
          <w:bCs/>
          <w:i/>
          <w:sz w:val="24"/>
          <w:szCs w:val="24"/>
          <w:lang w:bidi="he-IL"/>
        </w:rPr>
        <w:t>t</w:t>
      </w:r>
      <w:r w:rsidR="00C92937">
        <w:rPr>
          <w:rFonts w:asciiTheme="majorBidi" w:hAnsiTheme="majorBidi" w:cstheme="majorBidi"/>
          <w:bCs/>
          <w:sz w:val="24"/>
          <w:szCs w:val="24"/>
          <w:lang w:bidi="he-IL"/>
        </w:rPr>
        <w:t>.</w:t>
      </w:r>
    </w:p>
    <w:p w:rsidR="003410CA" w:rsidRPr="00F25385" w:rsidRDefault="003410CA" w:rsidP="00F73119">
      <w:pPr>
        <w:pStyle w:val="ListParagraph"/>
        <w:numPr>
          <w:ilvl w:val="0"/>
          <w:numId w:val="3"/>
        </w:numPr>
        <w:autoSpaceDE w:val="0"/>
        <w:autoSpaceDN w:val="0"/>
        <w:adjustRightInd w:val="0"/>
        <w:spacing w:after="0" w:line="480" w:lineRule="auto"/>
        <w:jc w:val="both"/>
        <w:rPr>
          <w:rFonts w:asciiTheme="majorBidi" w:eastAsiaTheme="minorEastAsia" w:hAnsiTheme="majorBidi" w:cstheme="majorBidi"/>
          <w:bCs/>
          <w:sz w:val="24"/>
          <w:szCs w:val="24"/>
          <w:lang w:bidi="he-IL"/>
        </w:rPr>
      </w:pPr>
      <w:r w:rsidRPr="00F25385">
        <w:rPr>
          <w:rFonts w:asciiTheme="majorBidi" w:hAnsiTheme="majorBidi" w:cstheme="majorBidi"/>
          <w:bCs/>
          <w:sz w:val="24"/>
          <w:szCs w:val="24"/>
          <w:lang w:bidi="he-IL"/>
        </w:rPr>
        <w:lastRenderedPageBreak/>
        <w:t>Analyst's specialization (</w:t>
      </w:r>
      <w:r w:rsidRPr="00F25385">
        <w:rPr>
          <w:rFonts w:asciiTheme="majorBidi" w:eastAsia="Times New Roman" w:hAnsiTheme="majorBidi" w:cstheme="majorBidi"/>
          <w:color w:val="000000"/>
          <w:sz w:val="24"/>
          <w:szCs w:val="24"/>
        </w:rPr>
        <w:t>Number of Companies</w:t>
      </w:r>
      <w:r w:rsidRPr="00F25385">
        <w:rPr>
          <w:rFonts w:asciiTheme="majorBidi" w:hAnsiTheme="majorBidi" w:cstheme="majorBidi"/>
          <w:bCs/>
          <w:sz w:val="24"/>
          <w:szCs w:val="24"/>
          <w:lang w:bidi="he-IL"/>
        </w:rPr>
        <w:t xml:space="preserve">) </w:t>
      </w:r>
      <w:r w:rsidR="00C92937">
        <w:rPr>
          <w:b/>
          <w:bCs/>
        </w:rPr>
        <w:t>–</w:t>
      </w:r>
      <w:r w:rsidRPr="00F25385">
        <w:rPr>
          <w:rFonts w:asciiTheme="majorBidi" w:hAnsiTheme="majorBidi" w:cstheme="majorBidi"/>
          <w:bCs/>
          <w:sz w:val="24"/>
          <w:szCs w:val="24"/>
          <w:lang w:bidi="he-IL"/>
        </w:rPr>
        <w:t xml:space="preserve"> the number of companies covered by the analyst in year </w:t>
      </w:r>
      <w:r w:rsidRPr="00EE241D">
        <w:rPr>
          <w:rFonts w:asciiTheme="majorBidi" w:hAnsiTheme="majorBidi" w:cstheme="majorBidi"/>
          <w:bCs/>
          <w:i/>
          <w:sz w:val="24"/>
          <w:szCs w:val="24"/>
          <w:lang w:bidi="he-IL"/>
        </w:rPr>
        <w:t>t</w:t>
      </w:r>
      <w:r w:rsidRPr="00F25385">
        <w:rPr>
          <w:rFonts w:asciiTheme="majorBidi" w:hAnsiTheme="majorBidi" w:cstheme="majorBidi"/>
          <w:bCs/>
          <w:sz w:val="24"/>
          <w:szCs w:val="24"/>
          <w:lang w:bidi="he-IL"/>
        </w:rPr>
        <w:t>.</w:t>
      </w:r>
    </w:p>
    <w:p w:rsidR="003410CA" w:rsidRPr="00F25385" w:rsidRDefault="003410CA" w:rsidP="00F73119">
      <w:pPr>
        <w:pStyle w:val="ListParagraph"/>
        <w:numPr>
          <w:ilvl w:val="0"/>
          <w:numId w:val="3"/>
        </w:numPr>
        <w:autoSpaceDE w:val="0"/>
        <w:autoSpaceDN w:val="0"/>
        <w:adjustRightInd w:val="0"/>
        <w:spacing w:after="0" w:line="480" w:lineRule="auto"/>
        <w:jc w:val="both"/>
        <w:rPr>
          <w:rFonts w:asciiTheme="majorBidi" w:hAnsiTheme="majorBidi" w:cstheme="majorBidi"/>
          <w:bCs/>
          <w:sz w:val="24"/>
          <w:szCs w:val="24"/>
          <w:lang w:bidi="he-IL"/>
        </w:rPr>
      </w:pPr>
      <w:r w:rsidRPr="00F25385">
        <w:rPr>
          <w:rFonts w:asciiTheme="majorBidi" w:hAnsiTheme="majorBidi" w:cstheme="majorBidi"/>
          <w:bCs/>
          <w:sz w:val="24"/>
          <w:szCs w:val="24"/>
          <w:lang w:bidi="he-IL"/>
        </w:rPr>
        <w:t xml:space="preserve">Analyst's effort (Forecast Frequency) </w:t>
      </w:r>
      <w:r w:rsidR="00C92937">
        <w:rPr>
          <w:b/>
          <w:bCs/>
        </w:rPr>
        <w:t>–</w:t>
      </w:r>
      <w:r w:rsidRPr="00F25385">
        <w:rPr>
          <w:rFonts w:asciiTheme="majorBidi" w:hAnsiTheme="majorBidi" w:cstheme="majorBidi"/>
          <w:bCs/>
          <w:sz w:val="24"/>
          <w:szCs w:val="24"/>
          <w:lang w:bidi="he-IL"/>
        </w:rPr>
        <w:t xml:space="preserve"> total number of firm forecasts issued by the analyst during year </w:t>
      </w:r>
      <w:r w:rsidRPr="00EE241D">
        <w:rPr>
          <w:rFonts w:asciiTheme="majorBidi" w:hAnsiTheme="majorBidi" w:cstheme="majorBidi"/>
          <w:bCs/>
          <w:i/>
          <w:sz w:val="24"/>
          <w:szCs w:val="24"/>
          <w:lang w:bidi="he-IL"/>
        </w:rPr>
        <w:t>t</w:t>
      </w:r>
      <w:r w:rsidRPr="00F25385">
        <w:rPr>
          <w:rFonts w:asciiTheme="majorBidi" w:hAnsiTheme="majorBidi" w:cstheme="majorBidi"/>
          <w:bCs/>
          <w:sz w:val="24"/>
          <w:szCs w:val="24"/>
          <w:lang w:bidi="he-IL"/>
        </w:rPr>
        <w:t xml:space="preserve">. </w:t>
      </w:r>
    </w:p>
    <w:p w:rsidR="003410CA" w:rsidRPr="00F25385" w:rsidRDefault="003410CA" w:rsidP="00F73119">
      <w:pPr>
        <w:pStyle w:val="ListParagraph"/>
        <w:numPr>
          <w:ilvl w:val="0"/>
          <w:numId w:val="3"/>
        </w:numPr>
        <w:autoSpaceDE w:val="0"/>
        <w:autoSpaceDN w:val="0"/>
        <w:adjustRightInd w:val="0"/>
        <w:spacing w:after="0" w:line="480" w:lineRule="auto"/>
        <w:jc w:val="both"/>
        <w:rPr>
          <w:rFonts w:asciiTheme="majorBidi" w:hAnsiTheme="majorBidi" w:cstheme="majorBidi"/>
          <w:bCs/>
          <w:sz w:val="24"/>
          <w:szCs w:val="24"/>
          <w:lang w:bidi="he-IL"/>
        </w:rPr>
      </w:pPr>
      <w:r w:rsidRPr="00F25385">
        <w:rPr>
          <w:rFonts w:asciiTheme="majorBidi" w:hAnsiTheme="majorBidi" w:cstheme="majorBidi"/>
          <w:bCs/>
          <w:sz w:val="24"/>
          <w:szCs w:val="24"/>
          <w:lang w:bidi="he-IL"/>
        </w:rPr>
        <w:t xml:space="preserve">Resources of the brokerage house (Broker </w:t>
      </w:r>
      <w:r w:rsidR="00CF4EEE">
        <w:rPr>
          <w:rFonts w:asciiTheme="majorBidi" w:hAnsiTheme="majorBidi" w:cstheme="majorBidi"/>
          <w:bCs/>
          <w:sz w:val="24"/>
          <w:szCs w:val="24"/>
          <w:lang w:bidi="he-IL"/>
        </w:rPr>
        <w:t>S</w:t>
      </w:r>
      <w:r w:rsidRPr="00F25385">
        <w:rPr>
          <w:rFonts w:asciiTheme="majorBidi" w:hAnsiTheme="majorBidi" w:cstheme="majorBidi"/>
          <w:bCs/>
          <w:sz w:val="24"/>
          <w:szCs w:val="24"/>
          <w:lang w:bidi="he-IL"/>
        </w:rPr>
        <w:t xml:space="preserve">ize) </w:t>
      </w:r>
      <w:r w:rsidR="00C92937">
        <w:rPr>
          <w:b/>
          <w:bCs/>
        </w:rPr>
        <w:t>–</w:t>
      </w:r>
      <w:r w:rsidRPr="00F25385">
        <w:rPr>
          <w:rFonts w:asciiTheme="majorBidi" w:hAnsiTheme="majorBidi" w:cstheme="majorBidi"/>
          <w:bCs/>
          <w:sz w:val="24"/>
          <w:szCs w:val="24"/>
          <w:lang w:bidi="he-IL"/>
        </w:rPr>
        <w:t xml:space="preserve"> number of analyst</w:t>
      </w:r>
      <w:r w:rsidR="00CF4EEE">
        <w:rPr>
          <w:rFonts w:asciiTheme="majorBidi" w:hAnsiTheme="majorBidi" w:cstheme="majorBidi"/>
          <w:bCs/>
          <w:sz w:val="24"/>
          <w:szCs w:val="24"/>
          <w:lang w:bidi="he-IL"/>
        </w:rPr>
        <w:t>s</w:t>
      </w:r>
      <w:r w:rsidRPr="00F25385">
        <w:rPr>
          <w:rFonts w:asciiTheme="majorBidi" w:hAnsiTheme="majorBidi" w:cstheme="majorBidi"/>
          <w:bCs/>
          <w:sz w:val="24"/>
          <w:szCs w:val="24"/>
          <w:lang w:bidi="he-IL"/>
        </w:rPr>
        <w:t xml:space="preserve"> employed by the brokerage firm employing the analyst in year </w:t>
      </w:r>
      <w:r w:rsidRPr="00EE241D">
        <w:rPr>
          <w:rFonts w:asciiTheme="majorBidi" w:hAnsiTheme="majorBidi" w:cstheme="majorBidi"/>
          <w:bCs/>
          <w:i/>
          <w:sz w:val="24"/>
          <w:szCs w:val="24"/>
          <w:lang w:bidi="he-IL"/>
        </w:rPr>
        <w:t>t</w:t>
      </w:r>
      <w:r w:rsidRPr="00F25385">
        <w:rPr>
          <w:rFonts w:asciiTheme="majorBidi" w:hAnsiTheme="majorBidi" w:cstheme="majorBidi"/>
          <w:bCs/>
          <w:sz w:val="24"/>
          <w:szCs w:val="24"/>
          <w:lang w:bidi="he-IL"/>
        </w:rPr>
        <w:t>.</w:t>
      </w:r>
    </w:p>
    <w:p w:rsidR="003410CA" w:rsidRPr="00F25385" w:rsidRDefault="003410CA" w:rsidP="00F73119">
      <w:pPr>
        <w:pStyle w:val="ListParagraph"/>
        <w:numPr>
          <w:ilvl w:val="0"/>
          <w:numId w:val="3"/>
        </w:numPr>
        <w:autoSpaceDE w:val="0"/>
        <w:autoSpaceDN w:val="0"/>
        <w:adjustRightInd w:val="0"/>
        <w:spacing w:after="0" w:line="480" w:lineRule="auto"/>
        <w:jc w:val="both"/>
        <w:rPr>
          <w:rFonts w:asciiTheme="majorBidi" w:eastAsiaTheme="minorEastAsia" w:hAnsiTheme="majorBidi" w:cstheme="majorBidi"/>
          <w:bCs/>
          <w:sz w:val="24"/>
          <w:szCs w:val="24"/>
          <w:lang w:bidi="he-IL"/>
        </w:rPr>
      </w:pPr>
      <w:r w:rsidRPr="00F25385">
        <w:rPr>
          <w:rFonts w:asciiTheme="majorBidi" w:eastAsiaTheme="minorEastAsia" w:hAnsiTheme="majorBidi" w:cstheme="majorBidi"/>
          <w:bCs/>
          <w:sz w:val="24"/>
          <w:szCs w:val="24"/>
          <w:lang w:bidi="he-IL"/>
        </w:rPr>
        <w:t>General Experience (</w:t>
      </w:r>
      <w:r w:rsidRPr="00F25385">
        <w:rPr>
          <w:rFonts w:asciiTheme="majorBidi" w:eastAsia="Times New Roman" w:hAnsiTheme="majorBidi" w:cstheme="majorBidi"/>
          <w:color w:val="000000"/>
          <w:sz w:val="24"/>
          <w:szCs w:val="24"/>
        </w:rPr>
        <w:t>Number of Industries)</w:t>
      </w:r>
      <w:r w:rsidRPr="00F25385">
        <w:rPr>
          <w:rFonts w:asciiTheme="majorBidi" w:eastAsiaTheme="minorEastAsia" w:hAnsiTheme="majorBidi" w:cstheme="majorBidi"/>
          <w:bCs/>
          <w:sz w:val="24"/>
          <w:szCs w:val="24"/>
          <w:lang w:bidi="he-IL"/>
        </w:rPr>
        <w:t xml:space="preserve"> </w:t>
      </w:r>
      <w:r w:rsidR="00CF4EEE">
        <w:rPr>
          <w:b/>
          <w:bCs/>
        </w:rPr>
        <w:t>–</w:t>
      </w:r>
      <w:r w:rsidRPr="00F25385">
        <w:rPr>
          <w:rFonts w:asciiTheme="majorBidi" w:eastAsiaTheme="minorEastAsia" w:hAnsiTheme="majorBidi" w:cstheme="majorBidi"/>
          <w:bCs/>
          <w:sz w:val="24"/>
          <w:szCs w:val="24"/>
          <w:lang w:bidi="he-IL"/>
        </w:rPr>
        <w:t xml:space="preserve"> the number of unique two-digit SICs of all the companies followed by analyst </w:t>
      </w:r>
      <w:r w:rsidRPr="00EE241D">
        <w:rPr>
          <w:rFonts w:asciiTheme="majorBidi" w:eastAsiaTheme="minorEastAsia" w:hAnsiTheme="majorBidi" w:cstheme="majorBidi"/>
          <w:bCs/>
          <w:i/>
          <w:sz w:val="24"/>
          <w:szCs w:val="24"/>
          <w:lang w:bidi="he-IL"/>
        </w:rPr>
        <w:t>i</w:t>
      </w:r>
      <w:r w:rsidRPr="00F25385">
        <w:rPr>
          <w:rFonts w:asciiTheme="majorBidi" w:eastAsiaTheme="minorEastAsia" w:hAnsiTheme="majorBidi" w:cstheme="majorBidi"/>
          <w:bCs/>
          <w:sz w:val="24"/>
          <w:szCs w:val="24"/>
          <w:lang w:bidi="he-IL"/>
        </w:rPr>
        <w:t xml:space="preserve"> in the 12-month period prior to day </w:t>
      </w:r>
      <w:r w:rsidRPr="00EE241D">
        <w:rPr>
          <w:rFonts w:asciiTheme="majorBidi" w:eastAsiaTheme="minorEastAsia" w:hAnsiTheme="majorBidi" w:cstheme="majorBidi"/>
          <w:bCs/>
          <w:i/>
          <w:sz w:val="24"/>
          <w:szCs w:val="24"/>
          <w:lang w:bidi="he-IL"/>
        </w:rPr>
        <w:t>t</w:t>
      </w:r>
      <w:r w:rsidRPr="00F25385">
        <w:rPr>
          <w:rFonts w:asciiTheme="majorBidi" w:eastAsiaTheme="minorEastAsia" w:hAnsiTheme="majorBidi" w:cstheme="majorBidi"/>
          <w:bCs/>
          <w:sz w:val="24"/>
          <w:szCs w:val="24"/>
          <w:lang w:bidi="he-IL"/>
        </w:rPr>
        <w:t>.</w:t>
      </w:r>
    </w:p>
    <w:p w:rsidR="00E8797D" w:rsidRDefault="006D3214" w:rsidP="00F73119">
      <w:pPr>
        <w:spacing w:line="480" w:lineRule="auto"/>
        <w:ind w:firstLine="567"/>
        <w:jc w:val="both"/>
        <w:rPr>
          <w:bCs/>
          <w:lang w:bidi="he-IL"/>
        </w:rPr>
      </w:pPr>
      <w:r>
        <w:rPr>
          <w:bCs/>
          <w:lang w:bidi="he-IL"/>
        </w:rPr>
        <w:t xml:space="preserve">We examine the relation between analyst performance and CRR using the Detailed History </w:t>
      </w:r>
      <w:r w:rsidR="003410CA">
        <w:rPr>
          <w:bCs/>
          <w:lang w:bidi="he-IL"/>
        </w:rPr>
        <w:t xml:space="preserve">IBES </w:t>
      </w:r>
      <w:r>
        <w:rPr>
          <w:bCs/>
          <w:lang w:bidi="he-IL"/>
        </w:rPr>
        <w:t xml:space="preserve">data file for the period from 2005 through 2010. Since we use CRR at the beginning of the year, we </w:t>
      </w:r>
      <w:r w:rsidR="00EC5F5D">
        <w:rPr>
          <w:bCs/>
          <w:lang w:bidi="he-IL"/>
        </w:rPr>
        <w:t xml:space="preserve">are not able to use </w:t>
      </w:r>
      <w:r>
        <w:rPr>
          <w:bCs/>
          <w:lang w:bidi="he-IL"/>
        </w:rPr>
        <w:t>year 2005</w:t>
      </w:r>
      <w:r w:rsidR="00EC5F5D">
        <w:rPr>
          <w:bCs/>
          <w:lang w:bidi="he-IL"/>
        </w:rPr>
        <w:t xml:space="preserve"> in the regressions</w:t>
      </w:r>
      <w:r>
        <w:rPr>
          <w:bCs/>
          <w:lang w:bidi="he-IL"/>
        </w:rPr>
        <w:t>. The overall number of firm-year-analysts</w:t>
      </w:r>
      <w:r w:rsidR="00CF4EEE">
        <w:rPr>
          <w:bCs/>
          <w:lang w:bidi="he-IL"/>
        </w:rPr>
        <w:t>’</w:t>
      </w:r>
      <w:r>
        <w:rPr>
          <w:bCs/>
          <w:lang w:bidi="he-IL"/>
        </w:rPr>
        <w:t xml:space="preserve"> forecasts with non-missing CRR includes </w:t>
      </w:r>
      <w:r w:rsidR="00E8797D">
        <w:rPr>
          <w:bCs/>
          <w:lang w:bidi="he-IL"/>
        </w:rPr>
        <w:t>310,498 forecasts.</w:t>
      </w:r>
    </w:p>
    <w:p w:rsidR="00917684" w:rsidRDefault="00E8797D" w:rsidP="00F73119">
      <w:pPr>
        <w:spacing w:line="480" w:lineRule="auto"/>
        <w:ind w:firstLine="567"/>
        <w:jc w:val="both"/>
        <w:rPr>
          <w:bCs/>
          <w:lang w:bidi="he-IL"/>
        </w:rPr>
      </w:pPr>
      <w:r>
        <w:rPr>
          <w:bCs/>
          <w:lang w:bidi="he-IL"/>
        </w:rPr>
        <w:t xml:space="preserve">Table 4, Panel A provides descriptive statistics of the </w:t>
      </w:r>
      <w:r w:rsidR="009D4288">
        <w:rPr>
          <w:bCs/>
          <w:lang w:bidi="he-IL"/>
        </w:rPr>
        <w:t>analyst characteristics</w:t>
      </w:r>
      <w:r>
        <w:rPr>
          <w:bCs/>
          <w:lang w:bidi="he-IL"/>
        </w:rPr>
        <w:t xml:space="preserve"> used in the analysis.</w:t>
      </w:r>
      <w:r w:rsidR="006D3214">
        <w:rPr>
          <w:bCs/>
          <w:lang w:bidi="he-IL"/>
        </w:rPr>
        <w:t xml:space="preserve"> </w:t>
      </w:r>
      <w:r w:rsidR="00EA7CEA">
        <w:rPr>
          <w:bCs/>
          <w:lang w:bidi="he-IL"/>
        </w:rPr>
        <w:t xml:space="preserve">We aggregate </w:t>
      </w:r>
      <w:r w:rsidR="003A3E96">
        <w:rPr>
          <w:bCs/>
          <w:lang w:bidi="he-IL"/>
        </w:rPr>
        <w:t>the statistics by firm-year-analyst</w:t>
      </w:r>
      <w:r w:rsidR="00CF4EEE">
        <w:rPr>
          <w:bCs/>
          <w:lang w:bidi="he-IL"/>
        </w:rPr>
        <w:t>,</w:t>
      </w:r>
      <w:r w:rsidR="003A3E96">
        <w:rPr>
          <w:bCs/>
          <w:lang w:bidi="he-IL"/>
        </w:rPr>
        <w:t xml:space="preserve"> resulting in a sample of 71,541 </w:t>
      </w:r>
      <w:r w:rsidR="00096EAF">
        <w:rPr>
          <w:bCs/>
          <w:lang w:bidi="he-IL"/>
        </w:rPr>
        <w:t>observations</w:t>
      </w:r>
      <w:r w:rsidR="003A3E96">
        <w:rPr>
          <w:bCs/>
          <w:lang w:bidi="he-IL"/>
        </w:rPr>
        <w:t xml:space="preserve">. </w:t>
      </w:r>
      <w:r w:rsidR="009D4288">
        <w:rPr>
          <w:bCs/>
          <w:lang w:bidi="he-IL"/>
        </w:rPr>
        <w:t>Mean (Median) CRR is 0.13 (0.1)</w:t>
      </w:r>
      <w:r w:rsidR="00CF4EEE">
        <w:rPr>
          <w:bCs/>
          <w:lang w:bidi="he-IL"/>
        </w:rPr>
        <w:t>,</w:t>
      </w:r>
      <w:r w:rsidR="009D4288">
        <w:rPr>
          <w:bCs/>
          <w:lang w:bidi="he-IL"/>
        </w:rPr>
        <w:t xml:space="preserve"> indicating that analyst on average react to 13% of the non-earnings 8-K filed by the company. The average firm experience is close to 4 years</w:t>
      </w:r>
      <w:r w:rsidR="005B73D7">
        <w:rPr>
          <w:bCs/>
          <w:lang w:bidi="he-IL"/>
        </w:rPr>
        <w:t>. Analysts cover 15</w:t>
      </w:r>
      <w:r w:rsidR="00EC5F5D">
        <w:rPr>
          <w:bCs/>
          <w:lang w:bidi="he-IL"/>
        </w:rPr>
        <w:t>.8</w:t>
      </w:r>
      <w:r w:rsidR="005B73D7">
        <w:rPr>
          <w:bCs/>
          <w:lang w:bidi="he-IL"/>
        </w:rPr>
        <w:t xml:space="preserve"> companies across 6.5 industries and issue 4.8 forecasts per year. </w:t>
      </w:r>
      <w:r w:rsidR="00EC5F5D">
        <w:rPr>
          <w:bCs/>
          <w:lang w:bidi="he-IL"/>
        </w:rPr>
        <w:t>The a</w:t>
      </w:r>
      <w:r w:rsidR="005B73D7">
        <w:rPr>
          <w:bCs/>
          <w:lang w:bidi="he-IL"/>
        </w:rPr>
        <w:t xml:space="preserve">verage brokerage employs 55 analysts. The mean statistics are somewhat higher than those reported by De Franco and Zhou (2009). One potential explanation </w:t>
      </w:r>
      <w:r w:rsidR="00CF4EEE">
        <w:rPr>
          <w:bCs/>
          <w:lang w:bidi="he-IL"/>
        </w:rPr>
        <w:t xml:space="preserve">for this </w:t>
      </w:r>
      <w:r w:rsidR="005B73D7">
        <w:rPr>
          <w:bCs/>
          <w:lang w:bidi="he-IL"/>
        </w:rPr>
        <w:t xml:space="preserve">is </w:t>
      </w:r>
      <w:r w:rsidR="00CF4EEE">
        <w:rPr>
          <w:bCs/>
          <w:lang w:bidi="he-IL"/>
        </w:rPr>
        <w:t xml:space="preserve">a </w:t>
      </w:r>
      <w:r w:rsidR="00EA7CEA">
        <w:rPr>
          <w:bCs/>
          <w:lang w:bidi="he-IL"/>
        </w:rPr>
        <w:t xml:space="preserve">difference in </w:t>
      </w:r>
      <w:r w:rsidR="005B73D7">
        <w:rPr>
          <w:bCs/>
          <w:lang w:bidi="he-IL"/>
        </w:rPr>
        <w:t>sample size</w:t>
      </w:r>
      <w:r w:rsidR="008D39CE">
        <w:rPr>
          <w:bCs/>
          <w:lang w:bidi="he-IL"/>
        </w:rPr>
        <w:t xml:space="preserve"> </w:t>
      </w:r>
      <w:r w:rsidR="00EA7CEA">
        <w:rPr>
          <w:bCs/>
          <w:lang w:bidi="he-IL"/>
        </w:rPr>
        <w:t xml:space="preserve">and period. Their sample includes </w:t>
      </w:r>
      <w:r w:rsidR="00BF40ED">
        <w:rPr>
          <w:bCs/>
          <w:lang w:bidi="he-IL"/>
        </w:rPr>
        <w:t xml:space="preserve">an </w:t>
      </w:r>
      <w:r w:rsidR="005B73D7">
        <w:rPr>
          <w:bCs/>
          <w:lang w:bidi="he-IL"/>
        </w:rPr>
        <w:t>earlier period</w:t>
      </w:r>
      <w:r w:rsidR="00BF40ED">
        <w:rPr>
          <w:bCs/>
          <w:lang w:bidi="he-IL"/>
        </w:rPr>
        <w:t>,</w:t>
      </w:r>
      <w:r w:rsidR="005B73D7">
        <w:rPr>
          <w:bCs/>
          <w:lang w:bidi="he-IL"/>
        </w:rPr>
        <w:t xml:space="preserve"> from 1999 through 2005.</w:t>
      </w:r>
    </w:p>
    <w:p w:rsidR="005B73D7" w:rsidRDefault="008F51D8" w:rsidP="00D440AF">
      <w:pPr>
        <w:spacing w:line="480" w:lineRule="auto"/>
        <w:ind w:firstLine="567"/>
        <w:jc w:val="both"/>
        <w:rPr>
          <w:bCs/>
          <w:lang w:bidi="he-IL"/>
        </w:rPr>
      </w:pPr>
      <w:r>
        <w:rPr>
          <w:bCs/>
          <w:lang w:bidi="he-IL"/>
        </w:rPr>
        <w:t>Panel B reports the mean of the characteristics by CRR dummy</w:t>
      </w:r>
      <w:r w:rsidR="00CF4EEE">
        <w:rPr>
          <w:bCs/>
          <w:lang w:bidi="he-IL"/>
        </w:rPr>
        <w:t>,</w:t>
      </w:r>
      <w:r>
        <w:rPr>
          <w:bCs/>
          <w:lang w:bidi="he-IL"/>
        </w:rPr>
        <w:t xml:space="preserve"> which takes the value of </w:t>
      </w:r>
      <w:r w:rsidR="00CF4EEE">
        <w:rPr>
          <w:bCs/>
          <w:lang w:bidi="he-IL"/>
        </w:rPr>
        <w:t>1</w:t>
      </w:r>
      <w:r w:rsidR="00D440AF">
        <w:rPr>
          <w:bCs/>
          <w:lang w:bidi="he-IL"/>
        </w:rPr>
        <w:t xml:space="preserve"> </w:t>
      </w:r>
      <w:r>
        <w:rPr>
          <w:bCs/>
          <w:lang w:bidi="he-IL"/>
        </w:rPr>
        <w:t xml:space="preserve">if CRR is greater </w:t>
      </w:r>
      <w:r w:rsidR="00D440AF">
        <w:rPr>
          <w:bCs/>
          <w:lang w:bidi="he-IL"/>
        </w:rPr>
        <w:t xml:space="preserve">than </w:t>
      </w:r>
      <w:r w:rsidR="00CF4EEE">
        <w:rPr>
          <w:bCs/>
          <w:lang w:bidi="he-IL"/>
        </w:rPr>
        <w:t>0</w:t>
      </w:r>
      <w:r w:rsidR="00E73051">
        <w:rPr>
          <w:bCs/>
          <w:lang w:bidi="he-IL"/>
        </w:rPr>
        <w:t xml:space="preserve"> </w:t>
      </w:r>
      <w:r w:rsidR="00CF4EEE">
        <w:rPr>
          <w:bCs/>
          <w:lang w:bidi="he-IL"/>
        </w:rPr>
        <w:t>(</w:t>
      </w:r>
      <w:r>
        <w:rPr>
          <w:bCs/>
          <w:lang w:bidi="he-IL"/>
        </w:rPr>
        <w:t xml:space="preserve">that is, if the analyst reacted to as little as </w:t>
      </w:r>
      <w:r w:rsidR="00D440AF">
        <w:rPr>
          <w:bCs/>
          <w:lang w:bidi="he-IL"/>
        </w:rPr>
        <w:t xml:space="preserve">one </w:t>
      </w:r>
      <w:r>
        <w:rPr>
          <w:bCs/>
          <w:lang w:bidi="he-IL"/>
        </w:rPr>
        <w:lastRenderedPageBreak/>
        <w:t xml:space="preserve">non-earnings 8-K prior to year </w:t>
      </w:r>
      <w:r w:rsidRPr="00EE241D">
        <w:rPr>
          <w:bCs/>
          <w:i/>
          <w:lang w:bidi="he-IL"/>
        </w:rPr>
        <w:t>t</w:t>
      </w:r>
      <w:r w:rsidR="00CF4EEE">
        <w:rPr>
          <w:bCs/>
          <w:lang w:bidi="he-IL"/>
        </w:rPr>
        <w:t>)</w:t>
      </w:r>
      <w:r>
        <w:rPr>
          <w:bCs/>
          <w:lang w:bidi="he-IL"/>
        </w:rPr>
        <w:t xml:space="preserve"> and </w:t>
      </w:r>
      <w:r w:rsidR="00CF4EEE">
        <w:rPr>
          <w:bCs/>
          <w:lang w:bidi="he-IL"/>
        </w:rPr>
        <w:t>0</w:t>
      </w:r>
      <w:r>
        <w:rPr>
          <w:bCs/>
          <w:lang w:bidi="he-IL"/>
        </w:rPr>
        <w:t xml:space="preserve"> otherwise. The </w:t>
      </w:r>
      <w:r w:rsidRPr="00CF4EEE">
        <w:rPr>
          <w:bCs/>
          <w:lang w:bidi="he-IL"/>
        </w:rPr>
        <w:t>n</w:t>
      </w:r>
      <w:r w:rsidR="007A4017">
        <w:rPr>
          <w:bCs/>
          <w:lang w:bidi="he-IL"/>
        </w:rPr>
        <w:t>umber of analyst</w:t>
      </w:r>
      <w:r w:rsidRPr="00CF4EEE">
        <w:rPr>
          <w:bCs/>
          <w:lang w:bidi="he-IL"/>
        </w:rPr>
        <w:t>-years</w:t>
      </w:r>
      <w:r>
        <w:rPr>
          <w:bCs/>
          <w:lang w:bidi="he-IL"/>
        </w:rPr>
        <w:t xml:space="preserve"> </w:t>
      </w:r>
      <w:r w:rsidR="007A4017">
        <w:rPr>
          <w:bCs/>
          <w:lang w:bidi="he-IL"/>
        </w:rPr>
        <w:t>with zero CRR, i.e cases where the analyst</w:t>
      </w:r>
      <w:r>
        <w:rPr>
          <w:bCs/>
          <w:lang w:bidi="he-IL"/>
        </w:rPr>
        <w:t xml:space="preserve"> never reacted to an 8-K is substantial </w:t>
      </w:r>
      <w:r w:rsidR="00CF4EEE">
        <w:rPr>
          <w:b/>
          <w:bCs/>
        </w:rPr>
        <w:t>–</w:t>
      </w:r>
      <w:r>
        <w:rPr>
          <w:bCs/>
          <w:lang w:bidi="he-IL"/>
        </w:rPr>
        <w:t xml:space="preserve"> 25,039</w:t>
      </w:r>
      <w:r w:rsidR="00CF4EEE">
        <w:rPr>
          <w:bCs/>
          <w:lang w:bidi="he-IL"/>
        </w:rPr>
        <w:t>,</w:t>
      </w:r>
      <w:r>
        <w:rPr>
          <w:bCs/>
          <w:lang w:bidi="he-IL"/>
        </w:rPr>
        <w:t xml:space="preserve"> both in absolute terms and relative to the sample population (about 35% of the total analysts-year sample). The panel clearly points to </w:t>
      </w:r>
      <w:r w:rsidR="00D440AF">
        <w:rPr>
          <w:bCs/>
          <w:lang w:bidi="he-IL"/>
        </w:rPr>
        <w:t xml:space="preserve">a </w:t>
      </w:r>
      <w:r>
        <w:rPr>
          <w:bCs/>
          <w:lang w:bidi="he-IL"/>
        </w:rPr>
        <w:t xml:space="preserve">relation between CRR dummy and analysts characteristics. Reacting analysts have greater firm experience, cover more companies, are employed by greater brokerage, cover </w:t>
      </w:r>
      <w:r w:rsidR="00CF4EEE">
        <w:rPr>
          <w:bCs/>
          <w:lang w:bidi="he-IL"/>
        </w:rPr>
        <w:t>fewer</w:t>
      </w:r>
      <w:r>
        <w:rPr>
          <w:bCs/>
          <w:lang w:bidi="he-IL"/>
        </w:rPr>
        <w:t xml:space="preserve"> industries</w:t>
      </w:r>
      <w:r w:rsidR="00CF4EEE">
        <w:rPr>
          <w:bCs/>
          <w:lang w:bidi="he-IL"/>
        </w:rPr>
        <w:t>,</w:t>
      </w:r>
      <w:r>
        <w:rPr>
          <w:bCs/>
          <w:lang w:bidi="he-IL"/>
        </w:rPr>
        <w:t xml:space="preserve"> and issue more forecasts. </w:t>
      </w:r>
      <w:r w:rsidR="00E81B8D">
        <w:rPr>
          <w:bCs/>
          <w:lang w:bidi="he-IL"/>
        </w:rPr>
        <w:t xml:space="preserve">Untabulated Tobit regression of CRR on these characteristics provides similar results. CRR is positively associated with firm experience, number of </w:t>
      </w:r>
      <w:r w:rsidR="006D377E">
        <w:rPr>
          <w:bCs/>
          <w:lang w:bidi="he-IL"/>
        </w:rPr>
        <w:t>companies</w:t>
      </w:r>
      <w:r w:rsidR="00E81B8D">
        <w:rPr>
          <w:bCs/>
          <w:lang w:bidi="he-IL"/>
        </w:rPr>
        <w:t xml:space="preserve"> covered, forecast frequency, and broker size</w:t>
      </w:r>
      <w:r w:rsidR="00CF4EEE">
        <w:rPr>
          <w:bCs/>
          <w:lang w:bidi="he-IL"/>
        </w:rPr>
        <w:t>;</w:t>
      </w:r>
      <w:r w:rsidR="00E81B8D">
        <w:rPr>
          <w:bCs/>
          <w:lang w:bidi="he-IL"/>
        </w:rPr>
        <w:t xml:space="preserve"> and</w:t>
      </w:r>
      <w:r w:rsidR="00CF4EEE">
        <w:rPr>
          <w:bCs/>
          <w:lang w:bidi="he-IL"/>
        </w:rPr>
        <w:t xml:space="preserve"> it</w:t>
      </w:r>
      <w:r w:rsidR="00E81B8D">
        <w:rPr>
          <w:bCs/>
          <w:lang w:bidi="he-IL"/>
        </w:rPr>
        <w:t xml:space="preserve"> is negatively associated with the number of industries covered by the analyst. </w:t>
      </w:r>
      <w:r w:rsidR="00024AB7">
        <w:rPr>
          <w:bCs/>
          <w:lang w:bidi="he-IL"/>
        </w:rPr>
        <w:t>These results suggest that CRR can be used as potential proxy for skill because skill is positively associated with firm experience (</w:t>
      </w:r>
      <w:r w:rsidR="00024AB7" w:rsidRPr="008B6492">
        <w:rPr>
          <w:rFonts w:asciiTheme="majorBidi" w:hAnsiTheme="majorBidi" w:cstheme="majorBidi"/>
          <w:color w:val="000000"/>
          <w:lang w:bidi="he-IL"/>
        </w:rPr>
        <w:t>Mikhail et al.</w:t>
      </w:r>
      <w:r w:rsidR="00024AB7">
        <w:rPr>
          <w:rFonts w:asciiTheme="majorBidi" w:hAnsiTheme="majorBidi" w:cstheme="majorBidi"/>
          <w:color w:val="000000"/>
          <w:lang w:bidi="he-IL"/>
        </w:rPr>
        <w:t>,</w:t>
      </w:r>
      <w:r w:rsidR="00024AB7" w:rsidRPr="008B6492">
        <w:rPr>
          <w:rFonts w:asciiTheme="majorBidi" w:hAnsiTheme="majorBidi" w:cstheme="majorBidi"/>
          <w:color w:val="000000"/>
          <w:lang w:bidi="he-IL"/>
        </w:rPr>
        <w:t xml:space="preserve"> 1997</w:t>
      </w:r>
      <w:r w:rsidR="00024AB7">
        <w:rPr>
          <w:rFonts w:asciiTheme="majorBidi" w:hAnsiTheme="majorBidi" w:cstheme="majorBidi"/>
          <w:color w:val="000000"/>
          <w:lang w:bidi="he-IL"/>
        </w:rPr>
        <w:t xml:space="preserve"> and Hong et al., 2000)</w:t>
      </w:r>
      <w:r w:rsidR="00024AB7" w:rsidRPr="008B6492">
        <w:rPr>
          <w:rFonts w:asciiTheme="majorBidi" w:hAnsiTheme="majorBidi" w:cstheme="majorBidi"/>
          <w:color w:val="000000"/>
          <w:lang w:bidi="he-IL"/>
        </w:rPr>
        <w:t xml:space="preserve">. </w:t>
      </w:r>
    </w:p>
    <w:p w:rsidR="00E81B8D" w:rsidRDefault="00E81B8D" w:rsidP="00F73119">
      <w:pPr>
        <w:spacing w:line="480" w:lineRule="auto"/>
        <w:ind w:firstLine="567"/>
        <w:jc w:val="both"/>
        <w:rPr>
          <w:bCs/>
          <w:lang w:bidi="he-IL"/>
        </w:rPr>
      </w:pPr>
      <w:r>
        <w:rPr>
          <w:bCs/>
          <w:lang w:bidi="he-IL"/>
        </w:rPr>
        <w:t xml:space="preserve">One potential argument against using CRR as an analyst characteristic is that CRR is largely determined by the firm's operations. In other words, some firms are more likely </w:t>
      </w:r>
      <w:r w:rsidR="00D440AF">
        <w:rPr>
          <w:bCs/>
          <w:lang w:bidi="he-IL"/>
        </w:rPr>
        <w:t xml:space="preserve">to </w:t>
      </w:r>
      <w:r>
        <w:rPr>
          <w:bCs/>
          <w:lang w:bidi="he-IL"/>
        </w:rPr>
        <w:t xml:space="preserve">issue non-earnings 8-K reports that are easier to interpret and use in forecasting future earnings, and hence, CRR likely captures variation in firm disclosure rather than analysts' ability. To examine whether CRR is a firm characteristic rather than an analyst characteristic, we compute at the firm-year level the mean, standard deviation, and interquartile range of the CRR of the analysts covering the firm. The results reported in Table 4, Panel C indicate considerable variation across </w:t>
      </w:r>
      <w:r w:rsidR="00156792">
        <w:rPr>
          <w:bCs/>
          <w:lang w:bidi="he-IL"/>
        </w:rPr>
        <w:t xml:space="preserve">analysts within the firm. Specifically, the mean of the mean CRR at the firm-year level (0.137) is similar to the overall mean CRR in the population. </w:t>
      </w:r>
      <w:r w:rsidR="00024AB7">
        <w:rPr>
          <w:bCs/>
          <w:lang w:bidi="he-IL"/>
        </w:rPr>
        <w:t>More importantly</w:t>
      </w:r>
      <w:r w:rsidR="00156792">
        <w:rPr>
          <w:bCs/>
          <w:lang w:bidi="he-IL"/>
        </w:rPr>
        <w:t>, CRR exhibits meaningful variation across analysts within each firm year: mean standard deviation is close to 0.1</w:t>
      </w:r>
      <w:r w:rsidR="007A2822">
        <w:rPr>
          <w:bCs/>
          <w:lang w:bidi="he-IL"/>
        </w:rPr>
        <w:t xml:space="preserve"> </w:t>
      </w:r>
      <w:r w:rsidR="00156792">
        <w:rPr>
          <w:bCs/>
          <w:lang w:bidi="he-IL"/>
        </w:rPr>
        <w:t>and the interquartile range is 0.12.</w:t>
      </w:r>
      <w:r w:rsidR="002B7C7F">
        <w:rPr>
          <w:bCs/>
          <w:lang w:bidi="he-IL"/>
        </w:rPr>
        <w:t xml:space="preserve"> </w:t>
      </w:r>
      <w:r w:rsidR="00024AB7">
        <w:rPr>
          <w:bCs/>
          <w:lang w:bidi="he-IL"/>
        </w:rPr>
        <w:t xml:space="preserve">While there is no benchmark that we can use to gauge whether the variation is large or not, the </w:t>
      </w:r>
      <w:r w:rsidR="00024AB7">
        <w:rPr>
          <w:bCs/>
          <w:lang w:bidi="he-IL"/>
        </w:rPr>
        <w:lastRenderedPageBreak/>
        <w:t>extent of the variation suggest</w:t>
      </w:r>
      <w:r w:rsidR="00494D6F">
        <w:rPr>
          <w:bCs/>
          <w:lang w:bidi="he-IL"/>
        </w:rPr>
        <w:t>s</w:t>
      </w:r>
      <w:r w:rsidR="00024AB7">
        <w:rPr>
          <w:bCs/>
          <w:lang w:bidi="he-IL"/>
        </w:rPr>
        <w:t xml:space="preserve"> that there is variation in the reaction to non-earnings </w:t>
      </w:r>
      <w:r w:rsidR="00024AB7">
        <w:rPr>
          <w:bCs/>
          <w:lang w:bidi="he-IL"/>
        </w:rPr>
        <w:br/>
        <w:t xml:space="preserve">8-K information </w:t>
      </w:r>
      <w:r w:rsidR="00332242">
        <w:rPr>
          <w:bCs/>
          <w:lang w:bidi="he-IL"/>
        </w:rPr>
        <w:t>among analysts covering the firm</w:t>
      </w:r>
      <w:r w:rsidR="00494D6F">
        <w:rPr>
          <w:bCs/>
          <w:lang w:bidi="he-IL"/>
        </w:rPr>
        <w:t>,</w:t>
      </w:r>
      <w:r w:rsidR="00332242">
        <w:rPr>
          <w:bCs/>
          <w:lang w:bidi="he-IL"/>
        </w:rPr>
        <w:t xml:space="preserve"> and hence the CRR is not a firm </w:t>
      </w:r>
      <w:r w:rsidR="00096EAF">
        <w:rPr>
          <w:bCs/>
          <w:lang w:bidi="he-IL"/>
        </w:rPr>
        <w:t>characteristic</w:t>
      </w:r>
      <w:r w:rsidR="00332242">
        <w:rPr>
          <w:bCs/>
          <w:lang w:bidi="he-IL"/>
        </w:rPr>
        <w:t>.</w:t>
      </w:r>
    </w:p>
    <w:p w:rsidR="002B7C7F" w:rsidRDefault="002B7C7F" w:rsidP="00F73119">
      <w:pPr>
        <w:spacing w:line="480" w:lineRule="auto"/>
        <w:ind w:firstLine="567"/>
        <w:jc w:val="both"/>
        <w:rPr>
          <w:bCs/>
          <w:lang w:val="en-CA"/>
        </w:rPr>
      </w:pPr>
      <w:r>
        <w:rPr>
          <w:bCs/>
          <w:lang w:bidi="he-IL"/>
        </w:rPr>
        <w:t>Similarly, we also examine whether the CRR is an analyst characteristic, i.e. similar CRR score</w:t>
      </w:r>
      <w:r w:rsidR="00494D6F">
        <w:rPr>
          <w:bCs/>
          <w:lang w:bidi="he-IL"/>
        </w:rPr>
        <w:t>s</w:t>
      </w:r>
      <w:r>
        <w:rPr>
          <w:bCs/>
          <w:lang w:bidi="he-IL"/>
        </w:rPr>
        <w:t xml:space="preserve"> across all companies, or rather depends on the firm of interest. We replicate the univariate analysis in Panel C and compute the descriptive stats of CRR at the analyst-year level (that is, across all companies covered by the analyst). Table 4, Panel D shows that there is also considerable variation of CRR across companies covered by the analyst. </w:t>
      </w:r>
      <w:r w:rsidR="006D377E">
        <w:rPr>
          <w:bCs/>
          <w:lang w:bidi="he-IL"/>
        </w:rPr>
        <w:t>Specifically</w:t>
      </w:r>
      <w:r>
        <w:rPr>
          <w:bCs/>
          <w:lang w:bidi="he-IL"/>
        </w:rPr>
        <w:t xml:space="preserve">, the mean of mean CRR across companies at the analyst-year level is 0.13, the standard deviation is 0.137, and the interquartile range is 0.179. Hence, these results suggest that CRR is not an overall analyst characteristic but rather depends on the firm covered. Again, this can be explained by differences in analyst ability across companies for reasons related </w:t>
      </w:r>
      <w:r>
        <w:rPr>
          <w:bCs/>
          <w:lang w:val="en-CA"/>
        </w:rPr>
        <w:t xml:space="preserve">to experience covering the company and complexity of the company's operation. In addition, firms may differ in the </w:t>
      </w:r>
      <w:r w:rsidR="006D377E">
        <w:rPr>
          <w:bCs/>
          <w:lang w:val="en-CA"/>
        </w:rPr>
        <w:t>distribution</w:t>
      </w:r>
      <w:r>
        <w:rPr>
          <w:bCs/>
          <w:lang w:val="en-CA"/>
        </w:rPr>
        <w:t xml:space="preserve"> of </w:t>
      </w:r>
      <w:r w:rsidR="00C04A1A">
        <w:rPr>
          <w:bCs/>
          <w:lang w:val="en-CA"/>
        </w:rPr>
        <w:t>i</w:t>
      </w:r>
      <w:r>
        <w:rPr>
          <w:bCs/>
          <w:lang w:val="en-CA"/>
        </w:rPr>
        <w:t xml:space="preserve">tems reported in 8-K </w:t>
      </w:r>
      <w:r w:rsidR="00C04A1A">
        <w:rPr>
          <w:bCs/>
          <w:lang w:val="en-CA"/>
        </w:rPr>
        <w:t xml:space="preserve">in general and </w:t>
      </w:r>
      <w:r>
        <w:rPr>
          <w:bCs/>
          <w:lang w:val="en-CA"/>
        </w:rPr>
        <w:t xml:space="preserve">in </w:t>
      </w:r>
      <w:r w:rsidR="00C04A1A">
        <w:rPr>
          <w:bCs/>
          <w:lang w:val="en-CA"/>
        </w:rPr>
        <w:t>i</w:t>
      </w:r>
      <w:r>
        <w:rPr>
          <w:bCs/>
          <w:lang w:val="en-CA"/>
        </w:rPr>
        <w:t xml:space="preserve">tems </w:t>
      </w:r>
      <w:r w:rsidR="00494D6F">
        <w:rPr>
          <w:bCs/>
          <w:lang w:val="en-CA"/>
        </w:rPr>
        <w:t xml:space="preserve">which </w:t>
      </w:r>
      <w:r>
        <w:rPr>
          <w:bCs/>
          <w:lang w:val="en-CA"/>
        </w:rPr>
        <w:t>are more likely to affect future earnings</w:t>
      </w:r>
      <w:r w:rsidR="00C04A1A">
        <w:rPr>
          <w:bCs/>
          <w:lang w:val="en-CA"/>
        </w:rPr>
        <w:t xml:space="preserve"> in particular</w:t>
      </w:r>
      <w:r>
        <w:rPr>
          <w:bCs/>
          <w:lang w:val="en-CA"/>
        </w:rPr>
        <w:t>.</w:t>
      </w:r>
    </w:p>
    <w:p w:rsidR="002B7C7F" w:rsidRDefault="00417BCB" w:rsidP="00F73119">
      <w:pPr>
        <w:spacing w:line="480" w:lineRule="auto"/>
        <w:ind w:firstLine="567"/>
        <w:jc w:val="both"/>
        <w:rPr>
          <w:bCs/>
          <w:lang w:bidi="he-IL"/>
        </w:rPr>
      </w:pPr>
      <w:r>
        <w:rPr>
          <w:bCs/>
          <w:lang w:bidi="he-IL"/>
        </w:rPr>
        <w:t>Following De Fr</w:t>
      </w:r>
      <w:r w:rsidR="00494D6F">
        <w:rPr>
          <w:bCs/>
          <w:lang w:bidi="he-IL"/>
        </w:rPr>
        <w:t>an</w:t>
      </w:r>
      <w:r>
        <w:rPr>
          <w:bCs/>
          <w:lang w:bidi="he-IL"/>
        </w:rPr>
        <w:t>co and Zhou (2009), we examine the association between CRR and analyst performance by estimating the following model:</w:t>
      </w:r>
    </w:p>
    <w:p w:rsidR="007525F5" w:rsidRDefault="007525F5" w:rsidP="00251EA7">
      <w:pPr>
        <w:ind w:firstLine="567"/>
        <w:jc w:val="both"/>
        <w:rPr>
          <w:bCs/>
          <w:lang w:bidi="he-IL"/>
        </w:rPr>
      </w:pPr>
    </w:p>
    <w:p w:rsidR="00F25385" w:rsidRPr="007525F5" w:rsidRDefault="003004F9" w:rsidP="00251EA7">
      <w:pPr>
        <w:ind w:firstLine="567"/>
        <w:jc w:val="both"/>
        <w:rPr>
          <w:bCs/>
          <w:lang w:bidi="he-IL"/>
        </w:rPr>
      </w:pPr>
      <m:oMathPara>
        <m:oMath>
          <m:sSub>
            <m:sSubPr>
              <m:ctrlPr>
                <w:rPr>
                  <w:rFonts w:ascii="Cambria Math" w:hAnsi="Cambria Math"/>
                  <w:bCs/>
                  <w:i/>
                  <w:lang w:bidi="he-IL"/>
                </w:rPr>
              </m:ctrlPr>
            </m:sSubPr>
            <m:e>
              <m:r>
                <w:rPr>
                  <w:rFonts w:ascii="Cambria Math" w:hAnsi="Cambria Math"/>
                  <w:lang w:bidi="he-IL"/>
                </w:rPr>
                <m:t>Performance</m:t>
              </m:r>
            </m:e>
            <m:sub>
              <m:r>
                <w:rPr>
                  <w:rFonts w:ascii="Cambria Math" w:hAnsi="Cambria Math"/>
                  <w:lang w:bidi="he-IL"/>
                </w:rPr>
                <m:t>ijt</m:t>
              </m:r>
            </m:sub>
          </m:sSub>
          <m:r>
            <w:rPr>
              <w:rFonts w:ascii="Cambria Math" w:hAnsi="Cambria Math"/>
              <w:lang w:bidi="he-IL"/>
            </w:rPr>
            <m:t>=</m:t>
          </m:r>
          <m:sSub>
            <m:sSubPr>
              <m:ctrlPr>
                <w:rPr>
                  <w:rFonts w:ascii="Cambria Math" w:hAnsi="Cambria Math"/>
                  <w:bCs/>
                  <w:i/>
                  <w:lang w:bidi="he-IL"/>
                </w:rPr>
              </m:ctrlPr>
            </m:sSubPr>
            <m:e>
              <m:r>
                <w:rPr>
                  <w:rFonts w:ascii="Cambria Math" w:hAnsi="Cambria Math"/>
                  <w:lang w:bidi="he-IL"/>
                </w:rPr>
                <m:t>a</m:t>
              </m:r>
            </m:e>
            <m:sub>
              <m:r>
                <w:rPr>
                  <w:rFonts w:ascii="Cambria Math" w:hAnsi="Cambria Math"/>
                  <w:lang w:bidi="he-IL"/>
                </w:rPr>
                <m:t>0</m:t>
              </m:r>
            </m:sub>
          </m:sSub>
          <m:r>
            <w:rPr>
              <w:rFonts w:ascii="Cambria Math" w:hAnsi="Cambria Math"/>
              <w:lang w:bidi="he-IL"/>
            </w:rPr>
            <m:t>+</m:t>
          </m:r>
          <m:sSub>
            <m:sSubPr>
              <m:ctrlPr>
                <w:rPr>
                  <w:rFonts w:ascii="Cambria Math" w:hAnsi="Cambria Math"/>
                  <w:bCs/>
                  <w:i/>
                  <w:lang w:bidi="he-IL"/>
                </w:rPr>
              </m:ctrlPr>
            </m:sSubPr>
            <m:e>
              <m:r>
                <w:rPr>
                  <w:rFonts w:ascii="Cambria Math" w:hAnsi="Cambria Math"/>
                  <w:lang w:bidi="he-IL"/>
                </w:rPr>
                <m:t>a</m:t>
              </m:r>
            </m:e>
            <m:sub>
              <m:r>
                <w:rPr>
                  <w:rFonts w:ascii="Cambria Math" w:hAnsi="Cambria Math"/>
                  <w:lang w:bidi="he-IL"/>
                </w:rPr>
                <m:t>1t</m:t>
              </m:r>
            </m:sub>
          </m:sSub>
          <m:r>
            <w:rPr>
              <w:rFonts w:ascii="Cambria Math" w:hAnsi="Cambria Math"/>
              <w:lang w:bidi="he-IL"/>
            </w:rPr>
            <m:t>×</m:t>
          </m:r>
          <m:sSub>
            <m:sSubPr>
              <m:ctrlPr>
                <w:rPr>
                  <w:rFonts w:ascii="Cambria Math" w:hAnsi="Cambria Math"/>
                  <w:bCs/>
                  <w:i/>
                  <w:lang w:bidi="he-IL"/>
                </w:rPr>
              </m:ctrlPr>
            </m:sSubPr>
            <m:e>
              <m:r>
                <w:rPr>
                  <w:rFonts w:ascii="Cambria Math" w:hAnsi="Cambria Math"/>
                  <w:lang w:bidi="he-IL"/>
                </w:rPr>
                <m:t>CRR</m:t>
              </m:r>
            </m:e>
            <m:sub>
              <m:r>
                <w:rPr>
                  <w:rFonts w:ascii="Cambria Math" w:hAnsi="Cambria Math"/>
                  <w:lang w:bidi="he-IL"/>
                </w:rPr>
                <m:t>ijt-1</m:t>
              </m:r>
            </m:sub>
          </m:sSub>
          <m:r>
            <w:rPr>
              <w:rFonts w:ascii="Cambria Math" w:hAnsi="Cambria Math"/>
              <w:lang w:bidi="he-IL"/>
            </w:rPr>
            <m:t>+</m:t>
          </m:r>
          <m:sSub>
            <m:sSubPr>
              <m:ctrlPr>
                <w:rPr>
                  <w:rFonts w:ascii="Cambria Math" w:hAnsi="Cambria Math"/>
                  <w:bCs/>
                  <w:i/>
                  <w:lang w:bidi="he-IL"/>
                </w:rPr>
              </m:ctrlPr>
            </m:sSubPr>
            <m:e>
              <m:r>
                <w:rPr>
                  <w:rFonts w:ascii="Cambria Math" w:hAnsi="Cambria Math"/>
                  <w:lang w:bidi="he-IL"/>
                </w:rPr>
                <m:t>B×Analyst Characteristics</m:t>
              </m:r>
            </m:e>
            <m:sub>
              <m:r>
                <w:rPr>
                  <w:rFonts w:ascii="Cambria Math" w:hAnsi="Cambria Math"/>
                  <w:lang w:bidi="he-IL"/>
                </w:rPr>
                <m:t>ijt</m:t>
              </m:r>
            </m:sub>
          </m:sSub>
          <m:r>
            <w:rPr>
              <w:rFonts w:ascii="Cambria Math" w:hAnsi="Cambria Math"/>
              <w:lang w:bidi="he-IL"/>
            </w:rPr>
            <m:t>+</m:t>
          </m:r>
          <m:sSub>
            <m:sSubPr>
              <m:ctrlPr>
                <w:rPr>
                  <w:rFonts w:ascii="Cambria Math" w:hAnsi="Cambria Math"/>
                  <w:bCs/>
                  <w:i/>
                  <w:lang w:bidi="he-IL"/>
                </w:rPr>
              </m:ctrlPr>
            </m:sSubPr>
            <m:e>
              <m:r>
                <w:rPr>
                  <w:rFonts w:ascii="Cambria Math" w:hAnsi="Cambria Math"/>
                  <w:lang w:bidi="he-IL"/>
                </w:rPr>
                <m:t>ε</m:t>
              </m:r>
            </m:e>
            <m:sub>
              <m:r>
                <w:rPr>
                  <w:rFonts w:ascii="Cambria Math" w:hAnsi="Cambria Math"/>
                  <w:lang w:bidi="he-IL"/>
                </w:rPr>
                <m:t>it</m:t>
              </m:r>
            </m:sub>
          </m:sSub>
        </m:oMath>
      </m:oMathPara>
    </w:p>
    <w:p w:rsidR="00251EA7" w:rsidRDefault="00251EA7" w:rsidP="00251EA7">
      <w:pPr>
        <w:jc w:val="both"/>
        <w:rPr>
          <w:rFonts w:ascii="Times" w:hAnsi="Times" w:cs="Times"/>
          <w:color w:val="000000"/>
          <w:position w:val="-2"/>
        </w:rPr>
      </w:pPr>
    </w:p>
    <w:p w:rsidR="00417BCB" w:rsidRDefault="00417BCB" w:rsidP="00EE241D">
      <w:pPr>
        <w:spacing w:line="480" w:lineRule="auto"/>
        <w:jc w:val="both"/>
        <w:rPr>
          <w:bCs/>
          <w:lang w:bidi="he-IL"/>
        </w:rPr>
      </w:pPr>
      <w:r>
        <w:rPr>
          <w:rFonts w:ascii="Times" w:hAnsi="Times" w:cs="Times"/>
          <w:color w:val="000000"/>
          <w:position w:val="-2"/>
        </w:rPr>
        <w:t xml:space="preserve">where the Performance proxies are the Timeliness,  Forecast Error, Boldness and Optimism of each forecast of analysts </w:t>
      </w:r>
      <w:r w:rsidRPr="008D39CE">
        <w:rPr>
          <w:rFonts w:ascii="Times" w:hAnsi="Times" w:cs="Times"/>
          <w:i/>
          <w:iCs/>
          <w:color w:val="000000"/>
          <w:position w:val="-2"/>
        </w:rPr>
        <w:t>i</w:t>
      </w:r>
      <w:r>
        <w:rPr>
          <w:rFonts w:ascii="Times" w:hAnsi="Times" w:cs="Times"/>
          <w:color w:val="000000"/>
          <w:position w:val="-2"/>
        </w:rPr>
        <w:t xml:space="preserve"> for firm </w:t>
      </w:r>
      <w:r w:rsidRPr="008D39CE">
        <w:rPr>
          <w:rFonts w:ascii="Times" w:hAnsi="Times" w:cs="Times"/>
          <w:i/>
          <w:iCs/>
          <w:color w:val="000000"/>
          <w:position w:val="-2"/>
        </w:rPr>
        <w:t>j</w:t>
      </w:r>
      <w:r>
        <w:rPr>
          <w:rFonts w:ascii="Times" w:hAnsi="Times" w:cs="Times"/>
          <w:color w:val="000000"/>
          <w:position w:val="-2"/>
        </w:rPr>
        <w:t xml:space="preserve"> in year </w:t>
      </w:r>
      <w:r w:rsidRPr="008D39CE">
        <w:rPr>
          <w:rFonts w:ascii="Times" w:hAnsi="Times" w:cs="Times"/>
          <w:i/>
          <w:iCs/>
          <w:color w:val="000000"/>
          <w:position w:val="-2"/>
        </w:rPr>
        <w:t>t</w:t>
      </w:r>
      <w:r>
        <w:rPr>
          <w:rFonts w:ascii="Times" w:hAnsi="Times" w:cs="Times"/>
          <w:color w:val="000000"/>
          <w:position w:val="-2"/>
        </w:rPr>
        <w:t xml:space="preserve">. The Analyst Characteristics include </w:t>
      </w:r>
      <w:r w:rsidR="00C04A1A">
        <w:rPr>
          <w:bCs/>
          <w:lang w:bidi="he-IL"/>
        </w:rPr>
        <w:t>f</w:t>
      </w:r>
      <w:r>
        <w:rPr>
          <w:bCs/>
          <w:lang w:bidi="he-IL"/>
        </w:rPr>
        <w:t xml:space="preserve">irm </w:t>
      </w:r>
      <w:r w:rsidR="00C04A1A">
        <w:rPr>
          <w:bCs/>
          <w:lang w:bidi="he-IL"/>
        </w:rPr>
        <w:t>e</w:t>
      </w:r>
      <w:r>
        <w:rPr>
          <w:bCs/>
          <w:lang w:bidi="he-IL"/>
        </w:rPr>
        <w:t xml:space="preserve">xperience, </w:t>
      </w:r>
      <w:r w:rsidR="00C04A1A">
        <w:rPr>
          <w:bCs/>
          <w:lang w:bidi="he-IL"/>
        </w:rPr>
        <w:t>n</w:t>
      </w:r>
      <w:r w:rsidR="00F25385">
        <w:rPr>
          <w:bCs/>
          <w:lang w:bidi="he-IL"/>
        </w:rPr>
        <w:t xml:space="preserve">umber of </w:t>
      </w:r>
      <w:r w:rsidR="00C04A1A">
        <w:rPr>
          <w:bCs/>
          <w:lang w:bidi="he-IL"/>
        </w:rPr>
        <w:t>i</w:t>
      </w:r>
      <w:r>
        <w:rPr>
          <w:bCs/>
          <w:lang w:bidi="he-IL"/>
        </w:rPr>
        <w:t xml:space="preserve">ndustries, </w:t>
      </w:r>
      <w:r w:rsidR="00C04A1A">
        <w:rPr>
          <w:bCs/>
          <w:lang w:bidi="he-IL"/>
        </w:rPr>
        <w:t>n</w:t>
      </w:r>
      <w:r w:rsidR="00F25385">
        <w:rPr>
          <w:bCs/>
          <w:lang w:bidi="he-IL"/>
        </w:rPr>
        <w:t xml:space="preserve">umber of </w:t>
      </w:r>
      <w:r w:rsidR="00C04A1A">
        <w:rPr>
          <w:bCs/>
          <w:lang w:bidi="he-IL"/>
        </w:rPr>
        <w:t>c</w:t>
      </w:r>
      <w:r>
        <w:rPr>
          <w:bCs/>
          <w:lang w:bidi="he-IL"/>
        </w:rPr>
        <w:t xml:space="preserve">ompanies, </w:t>
      </w:r>
      <w:r w:rsidR="00C04A1A">
        <w:rPr>
          <w:bCs/>
          <w:lang w:bidi="he-IL"/>
        </w:rPr>
        <w:t>f</w:t>
      </w:r>
      <w:r>
        <w:rPr>
          <w:bCs/>
          <w:lang w:bidi="he-IL"/>
        </w:rPr>
        <w:t xml:space="preserve">orecast </w:t>
      </w:r>
      <w:r w:rsidR="00C04A1A">
        <w:rPr>
          <w:bCs/>
          <w:lang w:bidi="he-IL"/>
        </w:rPr>
        <w:t>f</w:t>
      </w:r>
      <w:r>
        <w:rPr>
          <w:bCs/>
          <w:lang w:bidi="he-IL"/>
        </w:rPr>
        <w:t>requency</w:t>
      </w:r>
      <w:r w:rsidR="007525F5">
        <w:rPr>
          <w:bCs/>
          <w:lang w:bidi="he-IL"/>
        </w:rPr>
        <w:t>,</w:t>
      </w:r>
      <w:r>
        <w:rPr>
          <w:bCs/>
          <w:lang w:bidi="he-IL"/>
        </w:rPr>
        <w:t xml:space="preserve"> and </w:t>
      </w:r>
      <w:r w:rsidR="00C04A1A">
        <w:rPr>
          <w:bCs/>
          <w:lang w:bidi="he-IL"/>
        </w:rPr>
        <w:t>b</w:t>
      </w:r>
      <w:r>
        <w:rPr>
          <w:bCs/>
          <w:lang w:bidi="he-IL"/>
        </w:rPr>
        <w:t xml:space="preserve">roker </w:t>
      </w:r>
      <w:r w:rsidR="00C04A1A">
        <w:rPr>
          <w:bCs/>
          <w:lang w:bidi="he-IL"/>
        </w:rPr>
        <w:t>s</w:t>
      </w:r>
      <w:r>
        <w:rPr>
          <w:bCs/>
          <w:lang w:bidi="he-IL"/>
        </w:rPr>
        <w:t xml:space="preserve">ize. </w:t>
      </w:r>
      <w:r w:rsidR="003F0D77">
        <w:rPr>
          <w:bCs/>
          <w:lang w:bidi="he-IL"/>
        </w:rPr>
        <w:t xml:space="preserve">To allow for comparisons </w:t>
      </w:r>
      <w:r w:rsidR="003F0D77" w:rsidRPr="003F0D77">
        <w:rPr>
          <w:bCs/>
          <w:lang w:bidi="he-IL"/>
        </w:rPr>
        <w:t>across observations</w:t>
      </w:r>
      <w:r w:rsidR="003F0D77">
        <w:rPr>
          <w:bCs/>
          <w:lang w:bidi="he-IL"/>
        </w:rPr>
        <w:t>, we follow De Fr</w:t>
      </w:r>
      <w:r w:rsidR="007525F5">
        <w:rPr>
          <w:bCs/>
          <w:lang w:bidi="he-IL"/>
        </w:rPr>
        <w:t>an</w:t>
      </w:r>
      <w:r w:rsidR="003F0D77">
        <w:rPr>
          <w:bCs/>
          <w:lang w:bidi="he-IL"/>
        </w:rPr>
        <w:t>co and Zhou (2009) and Clement and Tse (2003,</w:t>
      </w:r>
      <w:r w:rsidR="00F25385">
        <w:rPr>
          <w:bCs/>
          <w:lang w:bidi="he-IL"/>
        </w:rPr>
        <w:t xml:space="preserve"> </w:t>
      </w:r>
      <w:r w:rsidR="003F0D77" w:rsidRPr="003F0D77">
        <w:rPr>
          <w:bCs/>
          <w:lang w:bidi="he-IL"/>
        </w:rPr>
        <w:t>2005)</w:t>
      </w:r>
      <w:r w:rsidR="003F0D77">
        <w:rPr>
          <w:bCs/>
          <w:lang w:bidi="he-IL"/>
        </w:rPr>
        <w:t xml:space="preserve"> and </w:t>
      </w:r>
      <w:r w:rsidR="00F25385">
        <w:rPr>
          <w:bCs/>
          <w:lang w:bidi="he-IL"/>
        </w:rPr>
        <w:t>standardize</w:t>
      </w:r>
      <w:r w:rsidR="003F0D77">
        <w:rPr>
          <w:bCs/>
          <w:lang w:bidi="he-IL"/>
        </w:rPr>
        <w:t xml:space="preserve"> each of the performance measures and independent variables. </w:t>
      </w:r>
      <w:r w:rsidR="006D377E">
        <w:rPr>
          <w:bCs/>
          <w:lang w:bidi="he-IL"/>
        </w:rPr>
        <w:lastRenderedPageBreak/>
        <w:t>Specifically</w:t>
      </w:r>
      <w:r w:rsidR="003F0D77">
        <w:rPr>
          <w:bCs/>
          <w:lang w:bidi="he-IL"/>
        </w:rPr>
        <w:t xml:space="preserve">, </w:t>
      </w:r>
      <w:r w:rsidR="009C29D8">
        <w:rPr>
          <w:bCs/>
          <w:lang w:bidi="he-IL"/>
        </w:rPr>
        <w:t xml:space="preserve">we transform each variable as follows: we </w:t>
      </w:r>
      <w:r w:rsidR="006D377E">
        <w:rPr>
          <w:bCs/>
          <w:lang w:bidi="he-IL"/>
        </w:rPr>
        <w:t>subtract</w:t>
      </w:r>
      <w:r w:rsidR="009C29D8">
        <w:rPr>
          <w:bCs/>
          <w:lang w:bidi="he-IL"/>
        </w:rPr>
        <w:t xml:space="preserve"> from each variable its minimum value for firm </w:t>
      </w:r>
      <w:r w:rsidR="009C29D8" w:rsidRPr="008D39CE">
        <w:rPr>
          <w:bCs/>
          <w:i/>
          <w:iCs/>
          <w:lang w:bidi="he-IL"/>
        </w:rPr>
        <w:t>j</w:t>
      </w:r>
      <w:r w:rsidR="009C29D8">
        <w:rPr>
          <w:bCs/>
          <w:lang w:bidi="he-IL"/>
        </w:rPr>
        <w:t xml:space="preserve"> in year </w:t>
      </w:r>
      <w:r w:rsidR="009C29D8" w:rsidRPr="008D39CE">
        <w:rPr>
          <w:bCs/>
          <w:i/>
          <w:iCs/>
          <w:lang w:bidi="he-IL"/>
        </w:rPr>
        <w:t>t</w:t>
      </w:r>
      <w:r w:rsidR="009C29D8">
        <w:rPr>
          <w:bCs/>
          <w:lang w:bidi="he-IL"/>
        </w:rPr>
        <w:t xml:space="preserve"> and scale the difference by the difference between the maximum and minimum value of the variable for firm </w:t>
      </w:r>
      <w:r w:rsidR="009C29D8" w:rsidRPr="008D39CE">
        <w:rPr>
          <w:bCs/>
          <w:i/>
          <w:iCs/>
          <w:lang w:bidi="he-IL"/>
        </w:rPr>
        <w:t>j</w:t>
      </w:r>
      <w:r w:rsidR="009C29D8">
        <w:rPr>
          <w:bCs/>
          <w:lang w:bidi="he-IL"/>
        </w:rPr>
        <w:t xml:space="preserve"> in year </w:t>
      </w:r>
      <w:r w:rsidR="009C29D8" w:rsidRPr="008D39CE">
        <w:rPr>
          <w:bCs/>
          <w:i/>
          <w:iCs/>
          <w:lang w:bidi="he-IL"/>
        </w:rPr>
        <w:t>t</w:t>
      </w:r>
      <w:r w:rsidR="009C29D8">
        <w:rPr>
          <w:bCs/>
          <w:lang w:bidi="he-IL"/>
        </w:rPr>
        <w:t>.</w:t>
      </w:r>
      <w:r w:rsidR="003F0D77" w:rsidRPr="003F0D77">
        <w:rPr>
          <w:bCs/>
          <w:lang w:bidi="he-IL"/>
        </w:rPr>
        <w:t xml:space="preserve"> This standardization </w:t>
      </w:r>
      <w:r w:rsidR="009C29D8">
        <w:rPr>
          <w:bCs/>
          <w:lang w:bidi="he-IL"/>
        </w:rPr>
        <w:t>provides</w:t>
      </w:r>
      <w:r w:rsidR="003F0D77" w:rsidRPr="003F0D77">
        <w:rPr>
          <w:bCs/>
          <w:lang w:bidi="he-IL"/>
        </w:rPr>
        <w:t xml:space="preserve"> a relative measure</w:t>
      </w:r>
      <w:r w:rsidR="009C29D8">
        <w:rPr>
          <w:bCs/>
          <w:lang w:bidi="he-IL"/>
        </w:rPr>
        <w:t xml:space="preserve"> </w:t>
      </w:r>
      <w:r w:rsidR="003F0D77" w:rsidRPr="003F0D77">
        <w:rPr>
          <w:bCs/>
          <w:lang w:bidi="he-IL"/>
        </w:rPr>
        <w:t xml:space="preserve">for all analysts who follow the same firm </w:t>
      </w:r>
      <w:r w:rsidR="009C29D8">
        <w:rPr>
          <w:bCs/>
          <w:lang w:bidi="he-IL"/>
        </w:rPr>
        <w:t>in</w:t>
      </w:r>
      <w:r w:rsidR="003F0D77" w:rsidRPr="003F0D77">
        <w:rPr>
          <w:bCs/>
          <w:lang w:bidi="he-IL"/>
        </w:rPr>
        <w:t xml:space="preserve"> </w:t>
      </w:r>
      <w:r w:rsidR="009C29D8">
        <w:rPr>
          <w:bCs/>
          <w:lang w:bidi="he-IL"/>
        </w:rPr>
        <w:t>year</w:t>
      </w:r>
      <w:r w:rsidR="003F0D77" w:rsidRPr="003F0D77">
        <w:rPr>
          <w:bCs/>
          <w:lang w:bidi="he-IL"/>
        </w:rPr>
        <w:t xml:space="preserve"> </w:t>
      </w:r>
      <w:r w:rsidR="009C29D8" w:rsidRPr="00EE241D">
        <w:rPr>
          <w:bCs/>
          <w:i/>
          <w:lang w:bidi="he-IL"/>
        </w:rPr>
        <w:t>t</w:t>
      </w:r>
      <w:r w:rsidR="007525F5">
        <w:rPr>
          <w:bCs/>
          <w:i/>
          <w:lang w:bidi="he-IL"/>
        </w:rPr>
        <w:t>,</w:t>
      </w:r>
      <w:r w:rsidR="009C29D8">
        <w:rPr>
          <w:bCs/>
          <w:lang w:bidi="he-IL"/>
        </w:rPr>
        <w:t xml:space="preserve"> </w:t>
      </w:r>
      <w:r w:rsidR="003F0D77" w:rsidRPr="003F0D77">
        <w:rPr>
          <w:bCs/>
          <w:lang w:bidi="he-IL"/>
        </w:rPr>
        <w:t>and thus controls</w:t>
      </w:r>
      <w:r w:rsidR="009C29D8">
        <w:rPr>
          <w:bCs/>
          <w:lang w:bidi="he-IL"/>
        </w:rPr>
        <w:t xml:space="preserve"> </w:t>
      </w:r>
      <w:r w:rsidR="003F0D77" w:rsidRPr="003F0D77">
        <w:rPr>
          <w:bCs/>
          <w:lang w:bidi="he-IL"/>
        </w:rPr>
        <w:t>for systematic firm year differences in the variables</w:t>
      </w:r>
      <w:r w:rsidR="009C29D8">
        <w:rPr>
          <w:bCs/>
          <w:lang w:bidi="he-IL"/>
        </w:rPr>
        <w:t>.</w:t>
      </w:r>
      <w:r w:rsidR="000338A8">
        <w:rPr>
          <w:rStyle w:val="FootnoteReference"/>
          <w:bCs/>
          <w:lang w:bidi="he-IL"/>
        </w:rPr>
        <w:footnoteReference w:id="13"/>
      </w:r>
      <w:r w:rsidR="009C29D8">
        <w:rPr>
          <w:bCs/>
          <w:lang w:bidi="he-IL"/>
        </w:rPr>
        <w:t xml:space="preserve"> </w:t>
      </w:r>
      <w:r>
        <w:rPr>
          <w:bCs/>
          <w:lang w:bidi="he-IL"/>
        </w:rPr>
        <w:t xml:space="preserve">We </w:t>
      </w:r>
      <w:r w:rsidR="003F0D77">
        <w:rPr>
          <w:bCs/>
          <w:lang w:bidi="he-IL"/>
        </w:rPr>
        <w:t xml:space="preserve">estimate the regression </w:t>
      </w:r>
      <w:r w:rsidR="003F0D77" w:rsidRPr="003F0D77">
        <w:rPr>
          <w:bCs/>
          <w:lang w:bidi="he-IL"/>
        </w:rPr>
        <w:t xml:space="preserve">on a monthly basis </w:t>
      </w:r>
      <w:r w:rsidR="003F0D77">
        <w:rPr>
          <w:bCs/>
          <w:lang w:bidi="he-IL"/>
        </w:rPr>
        <w:t xml:space="preserve">controlling for firm fixed effect, </w:t>
      </w:r>
      <w:r w:rsidR="003F0D77" w:rsidRPr="003F0D77">
        <w:rPr>
          <w:bCs/>
          <w:lang w:bidi="he-IL"/>
        </w:rPr>
        <w:t xml:space="preserve">and then present mean coefficients as in Fama and MacBeth (1973). </w:t>
      </w:r>
      <w:r w:rsidR="003F0D77">
        <w:rPr>
          <w:bCs/>
          <w:lang w:bidi="he-IL"/>
        </w:rPr>
        <w:t xml:space="preserve">The standard errors are </w:t>
      </w:r>
      <w:r w:rsidR="003F0D77" w:rsidRPr="003F0D77">
        <w:rPr>
          <w:bCs/>
          <w:lang w:bidi="he-IL"/>
        </w:rPr>
        <w:t>correct</w:t>
      </w:r>
      <w:r w:rsidR="003F0D77">
        <w:rPr>
          <w:bCs/>
          <w:lang w:bidi="he-IL"/>
        </w:rPr>
        <w:t>ed for serial dependence</w:t>
      </w:r>
      <w:r w:rsidR="003F0D77" w:rsidRPr="003F0D77">
        <w:rPr>
          <w:bCs/>
          <w:lang w:bidi="he-IL"/>
        </w:rPr>
        <w:t xml:space="preserve"> using the Newey and West (1987) adjustment</w:t>
      </w:r>
      <w:r w:rsidR="007525F5">
        <w:rPr>
          <w:bCs/>
          <w:lang w:bidi="he-IL"/>
        </w:rPr>
        <w:t>,</w:t>
      </w:r>
      <w:r w:rsidR="003F0D77">
        <w:rPr>
          <w:bCs/>
          <w:lang w:bidi="he-IL"/>
        </w:rPr>
        <w:t xml:space="preserve"> </w:t>
      </w:r>
      <w:r w:rsidR="003F0D77" w:rsidRPr="003F0D77">
        <w:rPr>
          <w:bCs/>
          <w:lang w:bidi="he-IL"/>
        </w:rPr>
        <w:t xml:space="preserve">with 12 lags for serial dependence in the coefficients. </w:t>
      </w:r>
    </w:p>
    <w:p w:rsidR="009C29D8" w:rsidRDefault="00D302B8" w:rsidP="00F73119">
      <w:pPr>
        <w:spacing w:line="480" w:lineRule="auto"/>
        <w:ind w:firstLine="567"/>
        <w:jc w:val="both"/>
        <w:rPr>
          <w:bCs/>
          <w:lang w:bidi="he-IL"/>
        </w:rPr>
      </w:pPr>
      <w:r>
        <w:rPr>
          <w:bCs/>
          <w:lang w:bidi="he-IL"/>
        </w:rPr>
        <w:t>Table 4, Panel E presents the regression results. The coefficient on CRR is positive in the Timeliness column</w:t>
      </w:r>
      <w:r w:rsidR="007525F5">
        <w:rPr>
          <w:bCs/>
          <w:lang w:bidi="he-IL"/>
        </w:rPr>
        <w:t>,</w:t>
      </w:r>
      <w:r>
        <w:rPr>
          <w:bCs/>
          <w:lang w:bidi="he-IL"/>
        </w:rPr>
        <w:t xml:space="preserve"> indicating that analysts with greater reaction ratio provide more timely forecasts. This finding is consistent with the conjecture that high CRR is associated with </w:t>
      </w:r>
      <w:r w:rsidR="000368EA">
        <w:rPr>
          <w:bCs/>
          <w:lang w:bidi="he-IL"/>
        </w:rPr>
        <w:t xml:space="preserve">analysts who provide </w:t>
      </w:r>
      <w:r>
        <w:rPr>
          <w:bCs/>
          <w:lang w:bidi="he-IL"/>
        </w:rPr>
        <w:t xml:space="preserve">timelier </w:t>
      </w:r>
      <w:r w:rsidR="00D37150">
        <w:rPr>
          <w:bCs/>
          <w:lang w:bidi="he-IL"/>
        </w:rPr>
        <w:t>forecast in response</w:t>
      </w:r>
      <w:r>
        <w:rPr>
          <w:bCs/>
          <w:lang w:bidi="he-IL"/>
        </w:rPr>
        <w:t xml:space="preserve"> to public information. Further, it also suggests that analysts with low CRR </w:t>
      </w:r>
      <w:r w:rsidR="000368EA">
        <w:rPr>
          <w:bCs/>
          <w:lang w:bidi="he-IL"/>
        </w:rPr>
        <w:t>(</w:t>
      </w:r>
      <w:r w:rsidR="00D37150">
        <w:rPr>
          <w:bCs/>
          <w:lang w:bidi="he-IL"/>
        </w:rPr>
        <w:t>that is</w:t>
      </w:r>
      <w:r w:rsidR="007525F5">
        <w:rPr>
          <w:bCs/>
          <w:lang w:bidi="he-IL"/>
        </w:rPr>
        <w:t>,</w:t>
      </w:r>
      <w:r w:rsidR="00D37150">
        <w:rPr>
          <w:bCs/>
          <w:lang w:bidi="he-IL"/>
        </w:rPr>
        <w:t xml:space="preserve"> analysts who are considered to be </w:t>
      </w:r>
      <w:r w:rsidR="000368EA">
        <w:rPr>
          <w:bCs/>
          <w:lang w:bidi="he-IL"/>
        </w:rPr>
        <w:t xml:space="preserve">followers) </w:t>
      </w:r>
      <w:r>
        <w:rPr>
          <w:bCs/>
          <w:lang w:bidi="he-IL"/>
        </w:rPr>
        <w:t xml:space="preserve">are more likely to follow and use the information in high CRR analysts' forecasts. </w:t>
      </w:r>
      <w:r w:rsidR="00633A68">
        <w:rPr>
          <w:bCs/>
          <w:lang w:bidi="he-IL"/>
        </w:rPr>
        <w:t xml:space="preserve">Consistent with </w:t>
      </w:r>
      <w:r w:rsidR="00633A68" w:rsidRPr="00633A68">
        <w:rPr>
          <w:bCs/>
          <w:lang w:bidi="he-IL"/>
        </w:rPr>
        <w:t>Clement and Tse (2005)</w:t>
      </w:r>
      <w:r w:rsidR="00633A68">
        <w:rPr>
          <w:bCs/>
          <w:lang w:bidi="he-IL"/>
        </w:rPr>
        <w:t xml:space="preserve"> and De Fr</w:t>
      </w:r>
      <w:r w:rsidR="007525F5">
        <w:rPr>
          <w:bCs/>
          <w:lang w:bidi="he-IL"/>
        </w:rPr>
        <w:t>an</w:t>
      </w:r>
      <w:r w:rsidR="00633A68">
        <w:rPr>
          <w:bCs/>
          <w:lang w:bidi="he-IL"/>
        </w:rPr>
        <w:t>co and Zhou (2009)</w:t>
      </w:r>
      <w:r w:rsidR="00633A68" w:rsidRPr="00633A68">
        <w:rPr>
          <w:bCs/>
          <w:lang w:bidi="he-IL"/>
        </w:rPr>
        <w:t xml:space="preserve">, </w:t>
      </w:r>
      <w:r w:rsidR="00633A68">
        <w:rPr>
          <w:bCs/>
          <w:lang w:bidi="he-IL"/>
        </w:rPr>
        <w:t>we also</w:t>
      </w:r>
      <w:r w:rsidR="00633A68" w:rsidRPr="00633A68">
        <w:rPr>
          <w:bCs/>
          <w:lang w:bidi="he-IL"/>
        </w:rPr>
        <w:t xml:space="preserve"> find that</w:t>
      </w:r>
      <w:r w:rsidR="00633A68">
        <w:rPr>
          <w:bCs/>
          <w:lang w:bidi="he-IL"/>
        </w:rPr>
        <w:t xml:space="preserve"> </w:t>
      </w:r>
      <w:r>
        <w:rPr>
          <w:bCs/>
          <w:lang w:bidi="he-IL"/>
        </w:rPr>
        <w:t xml:space="preserve">timeliness is associated with broker size, </w:t>
      </w:r>
      <w:r w:rsidR="00633A68">
        <w:rPr>
          <w:bCs/>
          <w:lang w:bidi="he-IL"/>
        </w:rPr>
        <w:t xml:space="preserve">firm experience and forecast frequency. </w:t>
      </w:r>
      <w:r w:rsidR="00125F1A">
        <w:rPr>
          <w:bCs/>
          <w:lang w:bidi="he-IL"/>
        </w:rPr>
        <w:t xml:space="preserve">The Forecast Error column shows that analysts with high CRR have lower forecast error. This result is consistent with our premise that CRR is a proxy to cognitive ability </w:t>
      </w:r>
      <w:r w:rsidR="007525F5">
        <w:rPr>
          <w:b/>
          <w:bCs/>
        </w:rPr>
        <w:t>–</w:t>
      </w:r>
      <w:r w:rsidR="00125F1A">
        <w:rPr>
          <w:bCs/>
          <w:lang w:bidi="he-IL"/>
        </w:rPr>
        <w:t xml:space="preserve"> higher CRR indicates greater ability</w:t>
      </w:r>
      <w:r w:rsidR="007525F5">
        <w:rPr>
          <w:bCs/>
          <w:lang w:bidi="he-IL"/>
        </w:rPr>
        <w:t>,</w:t>
      </w:r>
      <w:r w:rsidR="00125F1A">
        <w:rPr>
          <w:bCs/>
          <w:lang w:bidi="he-IL"/>
        </w:rPr>
        <w:t xml:space="preserve"> and hence more accurate forecasts. Consistent with the findings in the extant literature</w:t>
      </w:r>
      <w:r w:rsidR="005541A4">
        <w:rPr>
          <w:bCs/>
          <w:lang w:bidi="he-IL"/>
        </w:rPr>
        <w:t>,</w:t>
      </w:r>
      <w:r w:rsidR="00125F1A">
        <w:rPr>
          <w:bCs/>
          <w:lang w:bidi="he-IL"/>
        </w:rPr>
        <w:t xml:space="preserve"> we find that forecast error </w:t>
      </w:r>
      <w:r w:rsidR="00590859">
        <w:rPr>
          <w:bCs/>
          <w:lang w:bidi="he-IL"/>
        </w:rPr>
        <w:t xml:space="preserve">increases with the number of industries and decreases with firm experience. </w:t>
      </w:r>
      <w:r w:rsidR="00826C7D">
        <w:rPr>
          <w:bCs/>
          <w:lang w:bidi="he-IL"/>
        </w:rPr>
        <w:t>W</w:t>
      </w:r>
      <w:r w:rsidR="00590859">
        <w:rPr>
          <w:bCs/>
          <w:lang w:bidi="he-IL"/>
        </w:rPr>
        <w:t xml:space="preserve">e </w:t>
      </w:r>
      <w:r w:rsidR="00826C7D">
        <w:rPr>
          <w:bCs/>
          <w:lang w:bidi="he-IL"/>
        </w:rPr>
        <w:t xml:space="preserve">also </w:t>
      </w:r>
      <w:r w:rsidR="00590859">
        <w:rPr>
          <w:bCs/>
          <w:lang w:bidi="he-IL"/>
        </w:rPr>
        <w:t xml:space="preserve">find that </w:t>
      </w:r>
      <w:r w:rsidR="00125F1A">
        <w:rPr>
          <w:bCs/>
          <w:lang w:bidi="he-IL"/>
        </w:rPr>
        <w:t>forecast error is increasing with broker size</w:t>
      </w:r>
      <w:r w:rsidR="00590859">
        <w:rPr>
          <w:bCs/>
          <w:lang w:bidi="he-IL"/>
        </w:rPr>
        <w:t xml:space="preserve"> and</w:t>
      </w:r>
      <w:r w:rsidR="00125F1A">
        <w:rPr>
          <w:bCs/>
          <w:lang w:bidi="he-IL"/>
        </w:rPr>
        <w:t xml:space="preserve"> forecast frequency, and decreas</w:t>
      </w:r>
      <w:r w:rsidR="00590859">
        <w:rPr>
          <w:bCs/>
          <w:lang w:bidi="he-IL"/>
        </w:rPr>
        <w:t>es</w:t>
      </w:r>
      <w:r w:rsidR="00125F1A">
        <w:rPr>
          <w:bCs/>
          <w:lang w:bidi="he-IL"/>
        </w:rPr>
        <w:t xml:space="preserve"> </w:t>
      </w:r>
      <w:r w:rsidR="00590859">
        <w:rPr>
          <w:bCs/>
          <w:lang w:bidi="he-IL"/>
        </w:rPr>
        <w:t>with the</w:t>
      </w:r>
      <w:r w:rsidR="00125F1A">
        <w:rPr>
          <w:bCs/>
          <w:lang w:bidi="he-IL"/>
        </w:rPr>
        <w:t xml:space="preserve"> number of companies. </w:t>
      </w:r>
      <w:r w:rsidR="00590859">
        <w:rPr>
          <w:bCs/>
          <w:lang w:bidi="he-IL"/>
        </w:rPr>
        <w:t xml:space="preserve">The </w:t>
      </w:r>
      <w:r w:rsidR="00590859">
        <w:rPr>
          <w:bCs/>
          <w:lang w:bidi="he-IL"/>
        </w:rPr>
        <w:lastRenderedPageBreak/>
        <w:t>results of the Boldness and Optimism regressions suggest that there is no significant association between these variables and CRR; analyst</w:t>
      </w:r>
      <w:r w:rsidR="005541A4">
        <w:rPr>
          <w:bCs/>
          <w:lang w:bidi="he-IL"/>
        </w:rPr>
        <w:t>s</w:t>
      </w:r>
      <w:r w:rsidR="00590859">
        <w:rPr>
          <w:bCs/>
          <w:lang w:bidi="he-IL"/>
        </w:rPr>
        <w:t xml:space="preserve"> with high CRR do not provide bolder forecasts</w:t>
      </w:r>
      <w:r w:rsidR="005541A4">
        <w:rPr>
          <w:bCs/>
          <w:lang w:bidi="he-IL"/>
        </w:rPr>
        <w:t>,</w:t>
      </w:r>
      <w:r w:rsidR="00590859">
        <w:rPr>
          <w:bCs/>
          <w:lang w:bidi="he-IL"/>
        </w:rPr>
        <w:t xml:space="preserve"> and their forecast is as optimistic as the average forecast optimism. The signs of the control variables indicate that boldness is increasing with broker size and decreasing with number of companies, and optimism decreases with broker size.</w:t>
      </w:r>
    </w:p>
    <w:p w:rsidR="00FA55EB" w:rsidRDefault="00FA55EB" w:rsidP="004A0E1D">
      <w:pPr>
        <w:spacing w:line="480" w:lineRule="auto"/>
        <w:jc w:val="both"/>
        <w:rPr>
          <w:bCs/>
          <w:lang w:bidi="he-IL"/>
        </w:rPr>
      </w:pPr>
    </w:p>
    <w:p w:rsidR="001854EE" w:rsidRDefault="00D37150" w:rsidP="001854EE">
      <w:pPr>
        <w:spacing w:line="480" w:lineRule="auto"/>
        <w:jc w:val="both"/>
        <w:rPr>
          <w:rFonts w:asciiTheme="majorBidi" w:hAnsiTheme="majorBidi" w:cstheme="majorBidi"/>
          <w:b/>
          <w:bCs/>
          <w:sz w:val="28"/>
          <w:szCs w:val="28"/>
          <w:lang w:val="en-CA"/>
        </w:rPr>
      </w:pPr>
      <w:r>
        <w:rPr>
          <w:rFonts w:asciiTheme="majorBidi" w:hAnsiTheme="majorBidi" w:cstheme="majorBidi"/>
          <w:b/>
          <w:bCs/>
          <w:sz w:val="28"/>
          <w:szCs w:val="28"/>
          <w:lang w:val="en-CA"/>
        </w:rPr>
        <w:t>5</w:t>
      </w:r>
      <w:r w:rsidR="001854EE" w:rsidRPr="001854EE">
        <w:rPr>
          <w:rFonts w:asciiTheme="majorBidi" w:hAnsiTheme="majorBidi" w:cstheme="majorBidi"/>
          <w:b/>
          <w:bCs/>
          <w:sz w:val="28"/>
          <w:szCs w:val="28"/>
          <w:lang w:val="en-CA"/>
        </w:rPr>
        <w:t>. Conclusion</w:t>
      </w:r>
    </w:p>
    <w:p w:rsidR="00953352" w:rsidRPr="00C50D55" w:rsidRDefault="001854EE" w:rsidP="00792C82">
      <w:pPr>
        <w:spacing w:line="480" w:lineRule="auto"/>
        <w:ind w:firstLine="567"/>
        <w:jc w:val="both"/>
      </w:pPr>
      <w:r>
        <w:rPr>
          <w:rFonts w:asciiTheme="majorBidi" w:hAnsiTheme="majorBidi" w:cstheme="majorBidi"/>
          <w:lang w:val="en-CA"/>
        </w:rPr>
        <w:t xml:space="preserve">In this paper we analyze </w:t>
      </w:r>
      <w:r w:rsidR="00953352">
        <w:rPr>
          <w:rFonts w:asciiTheme="majorBidi" w:hAnsiTheme="majorBidi" w:cstheme="majorBidi"/>
          <w:lang w:val="en-CA"/>
        </w:rPr>
        <w:t>whether analysts that react to non-</w:t>
      </w:r>
      <w:r w:rsidR="00792C82">
        <w:rPr>
          <w:rFonts w:asciiTheme="majorBidi" w:hAnsiTheme="majorBidi" w:cstheme="majorBidi"/>
          <w:lang w:val="en-CA"/>
        </w:rPr>
        <w:t>earnings</w:t>
      </w:r>
      <w:r w:rsidR="00953352">
        <w:rPr>
          <w:rFonts w:asciiTheme="majorBidi" w:hAnsiTheme="majorBidi" w:cstheme="majorBidi"/>
          <w:lang w:val="en-CA"/>
        </w:rPr>
        <w:t xml:space="preserve"> information in 8-K reports are more skilful. </w:t>
      </w:r>
      <w:r w:rsidR="007F53B1">
        <w:rPr>
          <w:rFonts w:asciiTheme="majorBidi" w:hAnsiTheme="majorBidi" w:cstheme="majorBidi"/>
          <w:lang w:val="en-CA"/>
        </w:rPr>
        <w:t xml:space="preserve">Given that non-earnings </w:t>
      </w:r>
      <w:r w:rsidR="00096EAF">
        <w:rPr>
          <w:rFonts w:asciiTheme="majorBidi" w:hAnsiTheme="majorBidi" w:cstheme="majorBidi"/>
          <w:lang w:val="en-CA"/>
        </w:rPr>
        <w:t>information</w:t>
      </w:r>
      <w:r w:rsidR="007F53B1">
        <w:rPr>
          <w:rFonts w:asciiTheme="majorBidi" w:hAnsiTheme="majorBidi" w:cstheme="majorBidi"/>
          <w:lang w:val="en-CA"/>
        </w:rPr>
        <w:t xml:space="preserve"> reported in </w:t>
      </w:r>
      <w:r w:rsidR="00953352" w:rsidRPr="00092EA5">
        <w:t xml:space="preserve">8-K filings </w:t>
      </w:r>
      <w:r w:rsidR="007F53B1">
        <w:t xml:space="preserve">is </w:t>
      </w:r>
      <w:r w:rsidR="00096EAF">
        <w:t>economically</w:t>
      </w:r>
      <w:r w:rsidR="007F53B1">
        <w:t xml:space="preserve"> important (Lerman and Livnat 2010)</w:t>
      </w:r>
      <w:r w:rsidR="00C50D55">
        <w:t xml:space="preserve">, </w:t>
      </w:r>
      <w:r w:rsidR="00792C82">
        <w:t>arrive</w:t>
      </w:r>
      <w:r w:rsidR="005541A4">
        <w:t>s</w:t>
      </w:r>
      <w:r w:rsidR="00792C82" w:rsidRPr="00092EA5">
        <w:t xml:space="preserve"> </w:t>
      </w:r>
      <w:r w:rsidR="005541A4" w:rsidRPr="00092EA5">
        <w:t>idiosyncratic</w:t>
      </w:r>
      <w:r w:rsidR="005541A4">
        <w:t>ally</w:t>
      </w:r>
      <w:r w:rsidR="00C50D55">
        <w:t xml:space="preserve">, and </w:t>
      </w:r>
      <w:r w:rsidR="005541A4">
        <w:t xml:space="preserve">is </w:t>
      </w:r>
      <w:r w:rsidR="00C50D55">
        <w:t xml:space="preserve">not related directly to earnings, we conjecture that the ability of analysts to interpret the information and assess its impact on future earnings is indicative of skill. </w:t>
      </w:r>
      <w:r w:rsidR="00953352">
        <w:rPr>
          <w:bCs/>
          <w:lang w:val="en-CA"/>
        </w:rPr>
        <w:t>Differences in analyst ability can arise from several factors, such as education</w:t>
      </w:r>
      <w:r w:rsidR="00953352" w:rsidRPr="00ED7436">
        <w:rPr>
          <w:rFonts w:asciiTheme="majorBidi" w:hAnsiTheme="majorBidi" w:cstheme="majorBidi"/>
          <w:color w:val="000000"/>
          <w:lang w:bidi="he-IL"/>
        </w:rPr>
        <w:t xml:space="preserve"> </w:t>
      </w:r>
      <w:r w:rsidR="00953352">
        <w:rPr>
          <w:rFonts w:asciiTheme="majorBidi" w:hAnsiTheme="majorBidi" w:cstheme="majorBidi"/>
          <w:color w:val="000000"/>
          <w:lang w:bidi="he-IL"/>
        </w:rPr>
        <w:t>(</w:t>
      </w:r>
      <w:r w:rsidR="00953352" w:rsidRPr="00650CD7">
        <w:rPr>
          <w:rFonts w:asciiTheme="majorBidi" w:hAnsiTheme="majorBidi" w:cstheme="majorBidi"/>
          <w:color w:val="000000"/>
          <w:lang w:bidi="he-IL"/>
        </w:rPr>
        <w:t>De</w:t>
      </w:r>
      <w:r w:rsidR="005541A4">
        <w:rPr>
          <w:rFonts w:asciiTheme="majorBidi" w:hAnsiTheme="majorBidi" w:cstheme="majorBidi"/>
          <w:color w:val="000000"/>
          <w:lang w:bidi="he-IL"/>
        </w:rPr>
        <w:t xml:space="preserve"> </w:t>
      </w:r>
      <w:r w:rsidR="00953352" w:rsidRPr="00650CD7">
        <w:rPr>
          <w:rFonts w:asciiTheme="majorBidi" w:hAnsiTheme="majorBidi" w:cstheme="majorBidi"/>
          <w:color w:val="000000"/>
          <w:lang w:bidi="he-IL"/>
        </w:rPr>
        <w:t>Franco and Zhou</w:t>
      </w:r>
      <w:r w:rsidR="00953352">
        <w:rPr>
          <w:rFonts w:asciiTheme="majorBidi" w:hAnsiTheme="majorBidi" w:cstheme="majorBidi"/>
          <w:color w:val="000000"/>
          <w:lang w:bidi="he-IL"/>
        </w:rPr>
        <w:t>,</w:t>
      </w:r>
      <w:r w:rsidR="00953352" w:rsidRPr="00650CD7">
        <w:rPr>
          <w:rFonts w:asciiTheme="majorBidi" w:hAnsiTheme="majorBidi" w:cstheme="majorBidi"/>
          <w:color w:val="000000"/>
          <w:lang w:bidi="he-IL"/>
        </w:rPr>
        <w:t xml:space="preserve"> 2009)</w:t>
      </w:r>
      <w:r w:rsidR="00953352">
        <w:rPr>
          <w:bCs/>
          <w:lang w:val="en-CA"/>
        </w:rPr>
        <w:t xml:space="preserve"> and experience (</w:t>
      </w:r>
      <w:r w:rsidR="00953352" w:rsidRPr="008B6492">
        <w:rPr>
          <w:rFonts w:asciiTheme="majorBidi" w:hAnsiTheme="majorBidi" w:cstheme="majorBidi"/>
          <w:color w:val="000000"/>
          <w:lang w:bidi="he-IL"/>
        </w:rPr>
        <w:t>Mikhail et al.</w:t>
      </w:r>
      <w:r w:rsidR="00953352">
        <w:rPr>
          <w:rFonts w:asciiTheme="majorBidi" w:hAnsiTheme="majorBidi" w:cstheme="majorBidi"/>
          <w:color w:val="000000"/>
          <w:lang w:bidi="he-IL"/>
        </w:rPr>
        <w:t>,</w:t>
      </w:r>
      <w:r w:rsidR="00953352" w:rsidRPr="008B6492">
        <w:rPr>
          <w:rFonts w:asciiTheme="majorBidi" w:hAnsiTheme="majorBidi" w:cstheme="majorBidi"/>
          <w:color w:val="000000"/>
          <w:lang w:bidi="he-IL"/>
        </w:rPr>
        <w:t xml:space="preserve"> 1997</w:t>
      </w:r>
      <w:r w:rsidR="00953352">
        <w:rPr>
          <w:rFonts w:asciiTheme="majorBidi" w:hAnsiTheme="majorBidi" w:cstheme="majorBidi"/>
          <w:color w:val="000000"/>
          <w:lang w:bidi="he-IL"/>
        </w:rPr>
        <w:t xml:space="preserve">; </w:t>
      </w:r>
      <w:r w:rsidR="00953352" w:rsidRPr="008B6492">
        <w:rPr>
          <w:rFonts w:asciiTheme="majorBidi" w:hAnsiTheme="majorBidi" w:cstheme="majorBidi"/>
          <w:color w:val="000000"/>
          <w:lang w:bidi="he-IL"/>
        </w:rPr>
        <w:t>Hong et al.</w:t>
      </w:r>
      <w:r w:rsidR="005541A4">
        <w:rPr>
          <w:rFonts w:asciiTheme="majorBidi" w:hAnsiTheme="majorBidi" w:cstheme="majorBidi"/>
          <w:color w:val="000000"/>
          <w:lang w:bidi="he-IL"/>
        </w:rPr>
        <w:t>,</w:t>
      </w:r>
      <w:r w:rsidR="00953352" w:rsidRPr="008B6492">
        <w:rPr>
          <w:rFonts w:asciiTheme="majorBidi" w:hAnsiTheme="majorBidi" w:cstheme="majorBidi"/>
          <w:color w:val="000000"/>
          <w:lang w:bidi="he-IL"/>
        </w:rPr>
        <w:t xml:space="preserve"> 2000)</w:t>
      </w:r>
      <w:r w:rsidR="00953352">
        <w:rPr>
          <w:bCs/>
          <w:lang w:val="en-CA"/>
        </w:rPr>
        <w:t xml:space="preserve">. </w:t>
      </w:r>
    </w:p>
    <w:p w:rsidR="007C603A" w:rsidRDefault="001854EE" w:rsidP="00C50D55">
      <w:pPr>
        <w:spacing w:line="480" w:lineRule="auto"/>
        <w:ind w:firstLine="720"/>
        <w:jc w:val="both"/>
        <w:rPr>
          <w:rFonts w:asciiTheme="majorBidi" w:hAnsiTheme="majorBidi" w:cstheme="majorBidi"/>
          <w:lang w:val="en-CA"/>
        </w:rPr>
      </w:pPr>
      <w:r>
        <w:rPr>
          <w:rFonts w:asciiTheme="majorBidi" w:hAnsiTheme="majorBidi" w:cstheme="majorBidi"/>
          <w:lang w:val="en-CA"/>
        </w:rPr>
        <w:t xml:space="preserve">Our findings show that </w:t>
      </w:r>
      <w:r w:rsidR="00C50D55">
        <w:rPr>
          <w:rFonts w:asciiTheme="majorBidi" w:hAnsiTheme="majorBidi" w:cstheme="majorBidi"/>
          <w:lang w:val="en-CA"/>
        </w:rPr>
        <w:t xml:space="preserve">reaction in the form of forecast revision to </w:t>
      </w:r>
      <w:r>
        <w:rPr>
          <w:rFonts w:asciiTheme="majorBidi" w:hAnsiTheme="majorBidi" w:cstheme="majorBidi"/>
          <w:lang w:val="en-CA"/>
        </w:rPr>
        <w:t xml:space="preserve">non-earnings 8-K </w:t>
      </w:r>
      <w:r w:rsidR="00C50D55">
        <w:rPr>
          <w:rFonts w:asciiTheme="majorBidi" w:hAnsiTheme="majorBidi" w:cstheme="majorBidi"/>
          <w:lang w:val="en-CA"/>
        </w:rPr>
        <w:t>is much lower</w:t>
      </w:r>
      <w:r>
        <w:rPr>
          <w:rFonts w:asciiTheme="majorBidi" w:hAnsiTheme="majorBidi" w:cstheme="majorBidi"/>
          <w:lang w:val="en-CA"/>
        </w:rPr>
        <w:t xml:space="preserve"> compared to earnings 8-K</w:t>
      </w:r>
      <w:r w:rsidR="007C603A">
        <w:rPr>
          <w:rFonts w:asciiTheme="majorBidi" w:hAnsiTheme="majorBidi" w:cstheme="majorBidi"/>
          <w:lang w:val="en-CA"/>
        </w:rPr>
        <w:t>, and that although there is variation in the average reaction across the various items reported in 8-K, the average reaction across items is in the mid to high teens</w:t>
      </w:r>
      <w:r>
        <w:rPr>
          <w:rFonts w:asciiTheme="majorBidi" w:hAnsiTheme="majorBidi" w:cstheme="majorBidi"/>
          <w:lang w:val="en-CA"/>
        </w:rPr>
        <w:t xml:space="preserve">. However, despite the fact that most analysts do not revise their forecast following non-earnings 8-K releases, we find that </w:t>
      </w:r>
      <w:r w:rsidR="007C603A">
        <w:rPr>
          <w:bCs/>
          <w:lang w:val="en-CA"/>
        </w:rPr>
        <w:t xml:space="preserve">forecasts issued following a non-earnings 8-K report have on average a lower forecast error in comparison to all other concurrent forecasts, indicating that analysts who are able to interpret the non-earnings information in the 8-K and infer its impact on future profitability are able to provide more accurate earnings forecast. Further, </w:t>
      </w:r>
      <w:r w:rsidR="007C603A">
        <w:t>the results also suggest that although the reported items are not directly related to earnings</w:t>
      </w:r>
      <w:r w:rsidR="005541A4">
        <w:t>,</w:t>
      </w:r>
      <w:r w:rsidR="007C603A">
        <w:t xml:space="preserve"> they do have an impact on future profitability.</w:t>
      </w:r>
    </w:p>
    <w:p w:rsidR="007C603A" w:rsidRDefault="007C603A" w:rsidP="007C603A">
      <w:pPr>
        <w:spacing w:line="480" w:lineRule="auto"/>
        <w:ind w:firstLine="720"/>
        <w:jc w:val="both"/>
        <w:rPr>
          <w:rFonts w:asciiTheme="majorBidi" w:hAnsiTheme="majorBidi" w:cstheme="majorBidi"/>
          <w:lang w:val="en-CA"/>
        </w:rPr>
      </w:pPr>
      <w:r>
        <w:rPr>
          <w:rFonts w:asciiTheme="majorBidi" w:hAnsiTheme="majorBidi" w:cstheme="majorBidi"/>
          <w:lang w:val="en-CA"/>
        </w:rPr>
        <w:lastRenderedPageBreak/>
        <w:t xml:space="preserve">We further explore whether reaction to non-earnings information is related to skill by examining whether reaction to non-earnings 8-K reports is associated with future </w:t>
      </w:r>
      <w:r w:rsidR="00096EAF">
        <w:rPr>
          <w:rFonts w:asciiTheme="majorBidi" w:hAnsiTheme="majorBidi" w:cstheme="majorBidi"/>
          <w:lang w:val="en-CA"/>
        </w:rPr>
        <w:t>performance</w:t>
      </w:r>
      <w:r>
        <w:rPr>
          <w:rFonts w:asciiTheme="majorBidi" w:hAnsiTheme="majorBidi" w:cstheme="majorBidi"/>
          <w:lang w:val="en-CA"/>
        </w:rPr>
        <w:t xml:space="preserve">. We find that analysts that revisit their forecasts following non-earnings 8-K releases provide more accurate and timely forecasts in subsequent periods. </w:t>
      </w:r>
    </w:p>
    <w:p w:rsidR="007C603A" w:rsidRDefault="007C603A" w:rsidP="007C603A">
      <w:pPr>
        <w:spacing w:line="480" w:lineRule="auto"/>
        <w:ind w:firstLine="720"/>
        <w:jc w:val="both"/>
        <w:rPr>
          <w:rFonts w:asciiTheme="majorBidi" w:hAnsiTheme="majorBidi" w:cstheme="majorBidi"/>
          <w:lang w:val="en-CA"/>
        </w:rPr>
      </w:pPr>
      <w:r>
        <w:rPr>
          <w:bCs/>
          <w:lang w:bidi="he-IL"/>
        </w:rPr>
        <w:t>Overall, our results suggest that reaction to non-earnings information is indicative of skill; analysts who revise their forecast following non-earnings information have lower forecast error. Moreover, analysts who routinely react to non-earnings information consistently outperform non-reacting analysts in terms of forecast error, and provide timelier forecasts.</w:t>
      </w:r>
    </w:p>
    <w:p w:rsidR="007C603A" w:rsidRDefault="007C603A" w:rsidP="00C50D55">
      <w:pPr>
        <w:spacing w:line="480" w:lineRule="auto"/>
        <w:ind w:firstLine="720"/>
        <w:jc w:val="both"/>
        <w:rPr>
          <w:rFonts w:asciiTheme="majorBidi" w:hAnsiTheme="majorBidi" w:cstheme="majorBidi"/>
          <w:lang w:val="en-CA"/>
        </w:rPr>
      </w:pPr>
    </w:p>
    <w:p w:rsidR="007C603A" w:rsidRDefault="007C603A" w:rsidP="00C50D55">
      <w:pPr>
        <w:spacing w:line="480" w:lineRule="auto"/>
        <w:ind w:firstLine="720"/>
        <w:jc w:val="both"/>
        <w:rPr>
          <w:rFonts w:asciiTheme="majorBidi" w:hAnsiTheme="majorBidi" w:cstheme="majorBidi"/>
          <w:lang w:val="en-CA"/>
        </w:rPr>
      </w:pPr>
    </w:p>
    <w:p w:rsidR="00BB3AE2" w:rsidRDefault="00BB3AE2">
      <w:pPr>
        <w:rPr>
          <w:rFonts w:asciiTheme="majorBidi" w:hAnsiTheme="majorBidi" w:cstheme="majorBidi"/>
          <w:lang w:val="en-CA"/>
        </w:rPr>
      </w:pPr>
      <w:r>
        <w:rPr>
          <w:rFonts w:asciiTheme="majorBidi" w:hAnsiTheme="majorBidi" w:cstheme="majorBidi"/>
          <w:lang w:val="en-CA"/>
        </w:rPr>
        <w:br w:type="page"/>
      </w:r>
    </w:p>
    <w:p w:rsidR="000F59FF" w:rsidRPr="000C7E22" w:rsidRDefault="000F59FF" w:rsidP="000C3D80">
      <w:pPr>
        <w:autoSpaceDE w:val="0"/>
        <w:autoSpaceDN w:val="0"/>
        <w:adjustRightInd w:val="0"/>
        <w:rPr>
          <w:rFonts w:asciiTheme="majorBidi" w:hAnsiTheme="majorBidi" w:cstheme="majorBidi"/>
          <w:b/>
          <w:bCs/>
          <w:sz w:val="28"/>
          <w:szCs w:val="28"/>
        </w:rPr>
      </w:pPr>
      <w:r w:rsidRPr="000C7E22">
        <w:rPr>
          <w:rFonts w:asciiTheme="majorBidi" w:hAnsiTheme="majorBidi" w:cstheme="majorBidi"/>
          <w:b/>
          <w:bCs/>
          <w:sz w:val="28"/>
          <w:szCs w:val="28"/>
        </w:rPr>
        <w:lastRenderedPageBreak/>
        <w:t>References</w:t>
      </w:r>
    </w:p>
    <w:p w:rsidR="000F59FF" w:rsidRPr="008B6492" w:rsidRDefault="000F59FF" w:rsidP="000F59FF">
      <w:pPr>
        <w:autoSpaceDE w:val="0"/>
        <w:autoSpaceDN w:val="0"/>
        <w:adjustRightInd w:val="0"/>
        <w:ind w:firstLine="720"/>
        <w:rPr>
          <w:rFonts w:asciiTheme="majorBidi" w:hAnsiTheme="majorBidi" w:cstheme="majorBidi"/>
        </w:rPr>
      </w:pP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Abarbanell, J., Bushee, B., 1997. Fundamental analysis, future earnings, and stock prices. Journal of Accounting Research 35, 1−24.</w:t>
      </w:r>
    </w:p>
    <w:p w:rsidR="00835897" w:rsidRDefault="00835897" w:rsidP="004A7977">
      <w:pPr>
        <w:widowControl w:val="0"/>
        <w:ind w:left="360" w:hanging="360"/>
        <w:jc w:val="both"/>
        <w:rPr>
          <w:rFonts w:asciiTheme="majorBidi" w:hAnsiTheme="majorBidi" w:cstheme="majorBidi"/>
          <w:lang w:bidi="he-IL"/>
        </w:rPr>
      </w:pPr>
      <w:r w:rsidRPr="004052B7">
        <w:rPr>
          <w:rFonts w:asciiTheme="majorBidi" w:hAnsiTheme="majorBidi" w:cstheme="majorBidi"/>
          <w:lang w:bidi="he-IL"/>
        </w:rPr>
        <w:t>Asquith et al.</w:t>
      </w:r>
      <w:r>
        <w:rPr>
          <w:rFonts w:asciiTheme="majorBidi" w:hAnsiTheme="majorBidi" w:cstheme="majorBidi"/>
          <w:lang w:bidi="he-IL"/>
        </w:rPr>
        <w:t>,</w:t>
      </w:r>
      <w:r w:rsidRPr="004052B7">
        <w:rPr>
          <w:rFonts w:asciiTheme="majorBidi" w:hAnsiTheme="majorBidi" w:cstheme="majorBidi"/>
          <w:lang w:bidi="he-IL"/>
        </w:rPr>
        <w:t xml:space="preserve"> 2005</w:t>
      </w:r>
      <w:r>
        <w:rPr>
          <w:rFonts w:asciiTheme="majorBidi" w:hAnsiTheme="majorBidi" w:cstheme="majorBidi"/>
          <w:lang w:bidi="he-IL"/>
        </w:rPr>
        <w:t>?</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Bartov, E., Bondnar, G., 1994. Firm vlaution, earnings expectations, and the exchange rate exposure effect. Journal of Finance 49, 1755-1785.</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Bloomfield, R., Libby, R., Nelson, M., 2000. Underreaction, overreactions and moderated confidence, Journal of Financial Markets 3, 113-137.</w:t>
      </w:r>
    </w:p>
    <w:p w:rsidR="000F59FF" w:rsidRPr="004A7977" w:rsidRDefault="000F59FF" w:rsidP="004A7977">
      <w:pPr>
        <w:widowControl w:val="0"/>
        <w:ind w:left="360" w:hanging="360"/>
        <w:jc w:val="both"/>
        <w:rPr>
          <w:rFonts w:asciiTheme="majorBidi" w:hAnsiTheme="majorBidi" w:cstheme="majorBidi"/>
          <w:lang w:bidi="he-IL"/>
        </w:rPr>
      </w:pPr>
      <w:r w:rsidRPr="004A7977">
        <w:rPr>
          <w:rFonts w:asciiTheme="majorBidi" w:hAnsiTheme="majorBidi" w:cstheme="majorBidi"/>
        </w:rPr>
        <w:t>Bowen, R., Davis, A., Matsumoto, D., 2002. Do conference calls affect analysts' forecasts? Th</w:t>
      </w:r>
      <w:r w:rsidR="00302A78">
        <w:rPr>
          <w:rFonts w:asciiTheme="majorBidi" w:hAnsiTheme="majorBidi" w:cstheme="majorBidi"/>
        </w:rPr>
        <w:t>e Accounting Review 77, 285−316...</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Bradshaw, M., Richardson, S., Sloan, R., 2001. Do analysts and auditors use information in accruals? Journal of Accounting Research 39, 45-74.</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Chaney, P., Hogan, C., Jeter, D., 1999. The effect of reporting restructuring charges on analysts’ forecast revisions and errors. Journal of Accounting and Economics 27, 261-284.</w:t>
      </w:r>
    </w:p>
    <w:p w:rsidR="00960284" w:rsidRPr="004A7977" w:rsidRDefault="00960284" w:rsidP="004A7977">
      <w:pPr>
        <w:widowControl w:val="0"/>
        <w:ind w:left="360" w:hanging="360"/>
        <w:jc w:val="both"/>
        <w:rPr>
          <w:rFonts w:eastAsia="Times New Roman"/>
        </w:rPr>
      </w:pPr>
      <w:r w:rsidRPr="004A7977">
        <w:rPr>
          <w:rFonts w:eastAsia="Times New Roman"/>
        </w:rPr>
        <w:t>Chen</w:t>
      </w:r>
      <w:r w:rsidR="00B5024C">
        <w:rPr>
          <w:rFonts w:eastAsia="Times New Roman"/>
        </w:rPr>
        <w:t>,</w:t>
      </w:r>
      <w:r w:rsidRPr="004A7977">
        <w:rPr>
          <w:rFonts w:eastAsia="Times New Roman"/>
        </w:rPr>
        <w:t xml:space="preserve"> X., Cheng Q., Lo K., 2010. On the relationship between analyst reports and corporate disclosures: Exploring the roles of information discovery and interpretation, Journal of Accounting and Economics, 49 (3), pp. 206-226.</w:t>
      </w:r>
    </w:p>
    <w:p w:rsidR="000F59FF" w:rsidRPr="004A7977" w:rsidRDefault="000F59FF" w:rsidP="004A7977">
      <w:pPr>
        <w:widowControl w:val="0"/>
        <w:ind w:left="360" w:hanging="360"/>
        <w:jc w:val="both"/>
        <w:rPr>
          <w:rFonts w:eastAsia="Times New Roman"/>
        </w:rPr>
      </w:pPr>
      <w:r w:rsidRPr="004A7977">
        <w:rPr>
          <w:rFonts w:asciiTheme="majorBidi" w:hAnsiTheme="majorBidi" w:cstheme="majorBidi"/>
        </w:rPr>
        <w:t>Clement, M., 1999. Analyst forecast accuracy: do ability, resources, and portfolio complexity matter? Journal of Accounting and Economics 27, 285−303.</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Clement, M., Tse, S., 2003. Do investors respond to analysts’ forecast revisions as if forecast accuracy is all that matters? The Accounting Review 78, 227–249.</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Clement, M., Tse, S., 2005. Financial analyst characteristics and herding behavior in forecasting. The Journal of Finance 60, 307–341.</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Cooper, R., Day, T., Lewis, C., 2001. Following the leader: A study of individual analysts' earnings forecasts. Journal of Financial Economics 61, 383−416.</w:t>
      </w:r>
    </w:p>
    <w:p w:rsidR="002C6604" w:rsidRPr="004A7977" w:rsidRDefault="002C6604" w:rsidP="004A7977">
      <w:pPr>
        <w:widowControl w:val="0"/>
        <w:ind w:left="360" w:hanging="360"/>
        <w:jc w:val="both"/>
        <w:rPr>
          <w:rFonts w:asciiTheme="majorBidi" w:hAnsiTheme="majorBidi" w:cstheme="majorBidi"/>
        </w:rPr>
      </w:pPr>
      <w:r w:rsidRPr="004A7977">
        <w:rPr>
          <w:rFonts w:asciiTheme="majorBidi" w:hAnsiTheme="majorBidi" w:cstheme="majorBidi"/>
        </w:rPr>
        <w:t>De Franco, G., Y. Zhou, 2009, The performance of analysts with a CFA designation: The role of human-capital and signaling theories</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Duru, A., Reeb, D., 2002. International diversification and analysts' forecast accuracy and bias. The Accounting Review 77, 415−433.</w:t>
      </w:r>
    </w:p>
    <w:p w:rsidR="00F13672" w:rsidRPr="004A7977" w:rsidRDefault="000F59FF" w:rsidP="004A7977">
      <w:pPr>
        <w:widowControl w:val="0"/>
        <w:ind w:left="360" w:hanging="360"/>
        <w:jc w:val="both"/>
        <w:rPr>
          <w:rFonts w:asciiTheme="majorBidi" w:hAnsiTheme="majorBidi" w:cstheme="majorBidi"/>
          <w:rtl/>
          <w:lang w:bidi="he-IL"/>
        </w:rPr>
      </w:pPr>
      <w:r w:rsidRPr="004A7977">
        <w:rPr>
          <w:rFonts w:asciiTheme="majorBidi" w:hAnsiTheme="majorBidi" w:cstheme="majorBidi"/>
        </w:rPr>
        <w:t>Elliott, J., Philbrick, D., Weidman, C., 1995. Evidence from archival data on the relation between security analysts' forecast errors and prior forecast revisions. Contemporary Accounting Research, 11, 919−938.</w:t>
      </w:r>
    </w:p>
    <w:p w:rsidR="00D73670" w:rsidRPr="004A7977" w:rsidRDefault="00D73670" w:rsidP="004A7977">
      <w:pPr>
        <w:widowControl w:val="0"/>
        <w:ind w:left="360" w:hanging="360"/>
        <w:jc w:val="both"/>
        <w:rPr>
          <w:rFonts w:asciiTheme="majorBidi" w:hAnsiTheme="majorBidi" w:cstheme="majorBidi"/>
        </w:rPr>
      </w:pPr>
      <w:r w:rsidRPr="004A7977">
        <w:rPr>
          <w:rFonts w:asciiTheme="majorBidi" w:hAnsiTheme="majorBidi" w:cstheme="majorBidi"/>
        </w:rPr>
        <w:t xml:space="preserve">Ettredge, M., K. Johnstone, M. Stone, and Q. Wang. 2011. The effects of firm size, corporate governance quality, and bad news on disclosure compliance. Review of Accounting Studies 16(4): 866-889. </w:t>
      </w:r>
    </w:p>
    <w:p w:rsidR="00F13672" w:rsidRPr="004A7977" w:rsidRDefault="00F13672" w:rsidP="004A7977">
      <w:pPr>
        <w:widowControl w:val="0"/>
        <w:ind w:left="360" w:hanging="360"/>
        <w:jc w:val="both"/>
        <w:rPr>
          <w:rFonts w:asciiTheme="majorBidi" w:hAnsiTheme="majorBidi" w:cstheme="majorBidi"/>
        </w:rPr>
      </w:pPr>
      <w:r w:rsidRPr="004A7977">
        <w:rPr>
          <w:rFonts w:asciiTheme="majorBidi" w:hAnsiTheme="majorBidi" w:cstheme="majorBidi"/>
        </w:rPr>
        <w:t>Fama, E., and J. MacBeth, 1973, Risk, return, and equilibrium: Empirical tests, Journal of Political Economy, 81, 607-636.</w:t>
      </w:r>
    </w:p>
    <w:p w:rsidR="00D73670" w:rsidRPr="004A7977" w:rsidRDefault="00D73670" w:rsidP="004A7977">
      <w:pPr>
        <w:widowControl w:val="0"/>
        <w:ind w:left="360" w:hanging="360"/>
        <w:jc w:val="both"/>
        <w:rPr>
          <w:rFonts w:asciiTheme="majorBidi" w:hAnsiTheme="majorBidi" w:cstheme="majorBidi"/>
        </w:rPr>
      </w:pPr>
      <w:r w:rsidRPr="004A7977">
        <w:rPr>
          <w:rFonts w:asciiTheme="majorBidi" w:hAnsiTheme="majorBidi" w:cstheme="majorBidi"/>
        </w:rPr>
        <w:t xml:space="preserve">Feldman, R., S. Govindaraj, J. Livnat, and B. Segal. 2010. Management’s Tone Change, </w:t>
      </w:r>
      <w:r w:rsidRPr="004A7977">
        <w:rPr>
          <w:rFonts w:asciiTheme="majorBidi" w:hAnsiTheme="majorBidi" w:cstheme="majorBidi"/>
        </w:rPr>
        <w:tab/>
        <w:t>Post Earnings Announcement Drift and Accruals. Review of Accounting Studies 15(4).</w:t>
      </w:r>
    </w:p>
    <w:p w:rsidR="00B5024C" w:rsidRPr="0063529E" w:rsidRDefault="00B5024C" w:rsidP="00B5024C">
      <w:pPr>
        <w:widowControl w:val="0"/>
        <w:ind w:left="360" w:hanging="360"/>
        <w:jc w:val="both"/>
        <w:rPr>
          <w:rFonts w:asciiTheme="majorBidi" w:hAnsiTheme="majorBidi" w:cstheme="majorBidi"/>
        </w:rPr>
      </w:pPr>
      <w:r w:rsidRPr="0063529E">
        <w:rPr>
          <w:rFonts w:asciiTheme="majorBidi" w:hAnsiTheme="majorBidi" w:cstheme="majorBidi"/>
        </w:rPr>
        <w:t>Griffin, Paul A.;</w:t>
      </w:r>
      <w:r w:rsidRPr="004A7977">
        <w:rPr>
          <w:rFonts w:asciiTheme="majorBidi" w:hAnsiTheme="majorBidi" w:cstheme="majorBidi"/>
        </w:rPr>
        <w:t> </w:t>
      </w:r>
      <w:r w:rsidRPr="0063529E">
        <w:rPr>
          <w:rFonts w:asciiTheme="majorBidi" w:hAnsiTheme="majorBidi" w:cstheme="majorBidi"/>
        </w:rPr>
        <w:t>Lont, D</w:t>
      </w:r>
      <w:r w:rsidRPr="004A7977">
        <w:rPr>
          <w:rFonts w:asciiTheme="majorBidi" w:hAnsiTheme="majorBidi" w:cstheme="majorBidi"/>
        </w:rPr>
        <w:t>.</w:t>
      </w:r>
      <w:r w:rsidRPr="0063529E">
        <w:rPr>
          <w:rFonts w:asciiTheme="majorBidi" w:hAnsiTheme="majorBidi" w:cstheme="majorBidi"/>
        </w:rPr>
        <w:t xml:space="preserve"> H.;</w:t>
      </w:r>
      <w:r w:rsidRPr="004A7977">
        <w:rPr>
          <w:rFonts w:asciiTheme="majorBidi" w:hAnsiTheme="majorBidi" w:cstheme="majorBidi"/>
        </w:rPr>
        <w:t> </w:t>
      </w:r>
      <w:r w:rsidRPr="0063529E">
        <w:rPr>
          <w:rFonts w:asciiTheme="majorBidi" w:hAnsiTheme="majorBidi" w:cstheme="majorBidi"/>
        </w:rPr>
        <w:t>Segal, B</w:t>
      </w:r>
      <w:r w:rsidRPr="004A7977">
        <w:rPr>
          <w:rFonts w:asciiTheme="majorBidi" w:hAnsiTheme="majorBidi" w:cstheme="majorBidi"/>
        </w:rPr>
        <w:t xml:space="preserve">., 2011. </w:t>
      </w:r>
      <w:hyperlink r:id="rId11" w:tgtFrame="_blank" w:tooltip="Enforcement and disclosure under regulation fair disclosure: an empirical analysis. " w:history="1">
        <w:r w:rsidRPr="004A7977">
          <w:rPr>
            <w:rFonts w:asciiTheme="majorBidi" w:hAnsiTheme="majorBidi" w:cstheme="majorBidi"/>
          </w:rPr>
          <w:t>Enforcement and disclosure under regulation fair disclosure: an empirical analysis. </w:t>
        </w:r>
      </w:hyperlink>
      <w:r w:rsidRPr="004A7977">
        <w:rPr>
          <w:rFonts w:asciiTheme="majorBidi" w:hAnsiTheme="majorBidi" w:cstheme="majorBidi"/>
        </w:rPr>
        <w:t xml:space="preserve"> Accounting &amp; Finance. Dec 2011, Vol. 51 Issue 4, p947-983</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Haw, I., Jung, K., Ruland, W., 1994. The accuracy of financial analysts' forecasts after mergers. Journal of Accounting, Auditing and Finance 9, 465−483.</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Hirst, E., Hopkins, P., Wahlen, J., 2004. Fair values, income measurement, and bank analysts' risk and valuation judgments. The Accounting Review, 79, 454−473.</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 xml:space="preserve">Hong, H, Kubik, J., Solomon, A., 2000. Securiaty analysts’ career concerns and </w:t>
      </w:r>
      <w:r w:rsidRPr="004A7977">
        <w:rPr>
          <w:rFonts w:asciiTheme="majorBidi" w:hAnsiTheme="majorBidi" w:cstheme="majorBidi"/>
        </w:rPr>
        <w:lastRenderedPageBreak/>
        <w:t>herding of earnings forecasts. Rand Journal of Economics 31, 121-144.</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Hong, H., Kubik, J., 2003. Analyzing the analysts: Career concerns and biased earnings forecasts. Journal of Finance 58, 313−351.</w:t>
      </w:r>
    </w:p>
    <w:p w:rsidR="00B5024C" w:rsidRDefault="00B5024C" w:rsidP="004A7977">
      <w:pPr>
        <w:widowControl w:val="0"/>
        <w:ind w:left="360" w:hanging="360"/>
        <w:jc w:val="both"/>
        <w:rPr>
          <w:rFonts w:asciiTheme="majorBidi" w:hAnsiTheme="majorBidi" w:cstheme="majorBidi"/>
          <w:lang w:bidi="he-IL"/>
        </w:rPr>
      </w:pPr>
      <w:r w:rsidRPr="004052B7">
        <w:rPr>
          <w:rFonts w:asciiTheme="majorBidi" w:hAnsiTheme="majorBidi" w:cstheme="majorBidi"/>
          <w:lang w:bidi="he-IL"/>
        </w:rPr>
        <w:t>Ivkovic and Jegadeesh</w:t>
      </w:r>
      <w:r>
        <w:rPr>
          <w:rFonts w:asciiTheme="majorBidi" w:hAnsiTheme="majorBidi" w:cstheme="majorBidi"/>
          <w:lang w:bidi="he-IL"/>
        </w:rPr>
        <w:t>,</w:t>
      </w:r>
      <w:r w:rsidRPr="004052B7">
        <w:rPr>
          <w:rFonts w:asciiTheme="majorBidi" w:hAnsiTheme="majorBidi" w:cstheme="majorBidi"/>
          <w:lang w:bidi="he-IL"/>
        </w:rPr>
        <w:t xml:space="preserve"> 2004</w:t>
      </w:r>
      <w:r>
        <w:rPr>
          <w:rFonts w:asciiTheme="majorBidi" w:hAnsiTheme="majorBidi" w:cstheme="majorBidi"/>
          <w:lang w:bidi="he-IL"/>
        </w:rPr>
        <w:t>?</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Jacob, J., Lys, T., Neale, M., 1999. Expertise in forecasting performance of security analysts. Journal of Accounting and Economics, 28, 51−82.</w:t>
      </w:r>
    </w:p>
    <w:p w:rsidR="000F59FF" w:rsidRPr="004A7977" w:rsidRDefault="000F59FF" w:rsidP="004A7977">
      <w:pPr>
        <w:widowControl w:val="0"/>
        <w:ind w:left="360" w:hanging="360"/>
        <w:jc w:val="both"/>
        <w:rPr>
          <w:rFonts w:asciiTheme="majorBidi" w:hAnsiTheme="majorBidi" w:cstheme="majorBidi"/>
        </w:rPr>
      </w:pPr>
      <w:bookmarkStart w:id="0" w:name="_GoBack"/>
      <w:r w:rsidRPr="004A7977">
        <w:rPr>
          <w:rFonts w:asciiTheme="majorBidi" w:hAnsiTheme="majorBidi" w:cstheme="majorBidi"/>
        </w:rPr>
        <w:t>Lang, M., Lundholm, R., 1996. Corporate disclosure policy and analyst behavior. The Accounting Review, 71, 467−492.</w:t>
      </w:r>
      <w:r w:rsidR="00805E75">
        <w:rPr>
          <w:rFonts w:asciiTheme="majorBidi" w:hAnsiTheme="majorBidi" w:cstheme="majorBidi"/>
        </w:rPr>
        <w:t>..</w:t>
      </w:r>
    </w:p>
    <w:bookmarkEnd w:id="0"/>
    <w:p w:rsidR="007F53B1" w:rsidRPr="00D8416E" w:rsidRDefault="007F53B1" w:rsidP="007F53B1">
      <w:pPr>
        <w:widowControl w:val="0"/>
        <w:suppressAutoHyphens/>
        <w:ind w:left="709" w:hanging="709"/>
        <w:rPr>
          <w:rFonts w:eastAsia="Times New Roman"/>
          <w:color w:val="000000"/>
        </w:rPr>
      </w:pPr>
      <w:r w:rsidRPr="00D8416E">
        <w:rPr>
          <w:rFonts w:eastAsia="Times New Roman"/>
          <w:color w:val="000000"/>
        </w:rPr>
        <w:t>Lerman </w:t>
      </w:r>
      <w:r>
        <w:rPr>
          <w:rFonts w:eastAsia="Times New Roman"/>
          <w:color w:val="000000"/>
        </w:rPr>
        <w:t xml:space="preserve">A. </w:t>
      </w:r>
      <w:r w:rsidRPr="00D8416E">
        <w:rPr>
          <w:rFonts w:eastAsia="Times New Roman"/>
          <w:color w:val="000000"/>
        </w:rPr>
        <w:t>and J. Livnat</w:t>
      </w:r>
      <w:r>
        <w:rPr>
          <w:rFonts w:eastAsia="Times New Roman"/>
          <w:color w:val="000000"/>
        </w:rPr>
        <w:t>,</w:t>
      </w:r>
      <w:r w:rsidRPr="00D8416E">
        <w:rPr>
          <w:rFonts w:eastAsia="Times New Roman"/>
          <w:color w:val="000000"/>
        </w:rPr>
        <w:t> 2010</w:t>
      </w:r>
      <w:r>
        <w:rPr>
          <w:rFonts w:eastAsia="Times New Roman"/>
          <w:color w:val="000000"/>
        </w:rPr>
        <w:t>.</w:t>
      </w:r>
      <w:r w:rsidRPr="00D8416E">
        <w:rPr>
          <w:rFonts w:eastAsia="Times New Roman"/>
          <w:color w:val="000000"/>
        </w:rPr>
        <w:t xml:space="preserve"> The New Form 8-K Disclosures </w:t>
      </w:r>
      <w:r w:rsidRPr="00D8416E">
        <w:rPr>
          <w:rFonts w:eastAsia="Times New Roman"/>
          <w:i/>
          <w:color w:val="000000"/>
        </w:rPr>
        <w:t>Review of Accounting Studies</w:t>
      </w:r>
      <w:r w:rsidRPr="00D8416E">
        <w:rPr>
          <w:rFonts w:eastAsia="Times New Roman"/>
          <w:color w:val="000000"/>
        </w:rPr>
        <w:t>, 15:4, pp.752-778.</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Libby, R., Tan, H, 1999. Analysts’ reactions to warnings of negative earnings surprises. Journal of Accounting Review 81, 207-225.</w:t>
      </w:r>
      <w:r w:rsidR="00805E75">
        <w:rPr>
          <w:rFonts w:asciiTheme="majorBidi" w:hAnsiTheme="majorBidi" w:cstheme="majorBidi"/>
        </w:rPr>
        <w:t>...</w:t>
      </w:r>
    </w:p>
    <w:p w:rsidR="00B5024C" w:rsidRDefault="00B5024C" w:rsidP="004A7977">
      <w:pPr>
        <w:widowControl w:val="0"/>
        <w:ind w:left="360" w:hanging="360"/>
        <w:jc w:val="both"/>
        <w:rPr>
          <w:rFonts w:asciiTheme="majorBidi" w:hAnsiTheme="majorBidi" w:cstheme="majorBidi"/>
        </w:rPr>
      </w:pPr>
      <w:r>
        <w:rPr>
          <w:rFonts w:asciiTheme="majorBidi" w:hAnsiTheme="majorBidi" w:cstheme="majorBidi"/>
        </w:rPr>
        <w:t>Livnat and Lerman 2009?</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Livnat, J., Zhang, Y., 2012. Information interpretation or information discovery: which role of analysts do investors value more? Review of Accounting Studies 17, 612-641.</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Maines, L., McDaniel, L., Harris, M., 1997. Implications of proposed segment reporting standards for financial analysts' investment judgments. Journal of Accounting Research, 35, 1−24.</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Malloy, C. J., 2005. The geography of equity analysis. The Journal of Finance 60, 719–755.</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Mikhail, B., Walther, B. Willis, R., 1997. The development of expertise: Do security analysts improve their performance with experience? Journal of Accounting Research 3, 131-157.</w:t>
      </w:r>
    </w:p>
    <w:p w:rsidR="00D73670" w:rsidRPr="004A7977" w:rsidRDefault="00C743D9" w:rsidP="004A7977">
      <w:pPr>
        <w:widowControl w:val="0"/>
        <w:ind w:left="360" w:hanging="360"/>
        <w:jc w:val="both"/>
        <w:rPr>
          <w:rFonts w:asciiTheme="majorBidi" w:hAnsiTheme="majorBidi" w:cstheme="majorBidi"/>
        </w:rPr>
      </w:pPr>
      <w:r w:rsidRPr="004A7977">
        <w:rPr>
          <w:rFonts w:asciiTheme="majorBidi" w:hAnsiTheme="majorBidi" w:cstheme="majorBidi"/>
        </w:rPr>
        <w:t>Newey, Whitney K., West, Kenneth D, 1987, A simple, positive semi-definite, heteroskedasticity and autocorrelation consistent covariance matrix. Econometrica 55, 703–708.</w:t>
      </w:r>
    </w:p>
    <w:p w:rsidR="00D73670" w:rsidRPr="004A7977" w:rsidRDefault="00D73670" w:rsidP="004A7977">
      <w:pPr>
        <w:widowControl w:val="0"/>
        <w:ind w:left="360" w:hanging="360"/>
        <w:jc w:val="both"/>
        <w:rPr>
          <w:rFonts w:asciiTheme="majorBidi" w:hAnsiTheme="majorBidi" w:cstheme="majorBidi"/>
        </w:rPr>
      </w:pPr>
      <w:r w:rsidRPr="004A7977">
        <w:rPr>
          <w:rFonts w:asciiTheme="majorBidi" w:hAnsiTheme="majorBidi" w:cstheme="majorBidi"/>
        </w:rPr>
        <w:t>Schwartz, K. B., and B.S. Soo. 1996. Evidence of regulatory noncompliance with SEC disclosure rules on auditor changes. The Accounting Review 71(4):555–572.</w:t>
      </w:r>
    </w:p>
    <w:p w:rsidR="00D73670" w:rsidRPr="004A7977" w:rsidRDefault="00D73670" w:rsidP="004A7977">
      <w:pPr>
        <w:widowControl w:val="0"/>
        <w:ind w:left="360" w:hanging="360"/>
        <w:jc w:val="both"/>
        <w:rPr>
          <w:rFonts w:asciiTheme="majorBidi" w:hAnsiTheme="majorBidi" w:cstheme="majorBidi"/>
        </w:rPr>
      </w:pPr>
      <w:r w:rsidRPr="004A7977">
        <w:rPr>
          <w:rFonts w:asciiTheme="majorBidi" w:hAnsiTheme="majorBidi" w:cstheme="majorBidi"/>
        </w:rPr>
        <w:t xml:space="preserve">Segal, B., </w:t>
      </w:r>
      <w:r w:rsidR="0063529E" w:rsidRPr="004A7977">
        <w:rPr>
          <w:rFonts w:asciiTheme="majorBidi" w:hAnsiTheme="majorBidi" w:cstheme="majorBidi"/>
        </w:rPr>
        <w:t xml:space="preserve">Segal </w:t>
      </w:r>
      <w:r w:rsidRPr="004A7977">
        <w:rPr>
          <w:rFonts w:asciiTheme="majorBidi" w:hAnsiTheme="majorBidi" w:cstheme="majorBidi"/>
        </w:rPr>
        <w:t>D., 2013. The Opportunistic Reporting of Material Events and the Apparent Misconception of Investors' Reaction. Working Paper.</w:t>
      </w:r>
    </w:p>
    <w:p w:rsidR="000F59FF" w:rsidRPr="004A7977" w:rsidRDefault="000F59FF" w:rsidP="004A7977">
      <w:pPr>
        <w:widowControl w:val="0"/>
        <w:ind w:left="360" w:hanging="360"/>
        <w:jc w:val="both"/>
        <w:rPr>
          <w:rFonts w:asciiTheme="majorBidi" w:hAnsiTheme="majorBidi" w:cstheme="majorBidi"/>
        </w:rPr>
      </w:pPr>
      <w:r w:rsidRPr="004A7977">
        <w:rPr>
          <w:rFonts w:asciiTheme="majorBidi" w:hAnsiTheme="majorBidi" w:cstheme="majorBidi"/>
        </w:rPr>
        <w:t>Sinha, P., L. Brown, Das, S., 1997. A re-examination of financial analysts’ differential earnings forecasts accuracy. Contemporary Accounting Research 14, 1-42.</w:t>
      </w:r>
    </w:p>
    <w:p w:rsidR="004A7977" w:rsidRDefault="004A7977">
      <w:pPr>
        <w:rPr>
          <w:b/>
          <w:bCs/>
          <w:lang w:val="en-CA"/>
        </w:rPr>
      </w:pPr>
      <w:r>
        <w:rPr>
          <w:b/>
          <w:bCs/>
          <w:lang w:val="en-CA"/>
        </w:rPr>
        <w:br w:type="page"/>
      </w:r>
    </w:p>
    <w:p w:rsidR="00346766" w:rsidRPr="000C7E22" w:rsidRDefault="00346766" w:rsidP="00346766">
      <w:pPr>
        <w:keepNext/>
        <w:keepLines/>
        <w:spacing w:line="360" w:lineRule="auto"/>
        <w:jc w:val="both"/>
        <w:rPr>
          <w:b/>
          <w:bCs/>
          <w:sz w:val="28"/>
          <w:szCs w:val="28"/>
          <w:lang w:val="en-CA"/>
        </w:rPr>
      </w:pPr>
      <w:r w:rsidRPr="000C7E22">
        <w:rPr>
          <w:b/>
          <w:bCs/>
          <w:sz w:val="28"/>
          <w:szCs w:val="28"/>
          <w:lang w:val="en-CA"/>
        </w:rPr>
        <w:lastRenderedPageBreak/>
        <w:t>Appendix I:</w:t>
      </w:r>
    </w:p>
    <w:p w:rsidR="00346766" w:rsidRDefault="00346766" w:rsidP="00346766">
      <w:pPr>
        <w:keepNext/>
        <w:keepLines/>
        <w:spacing w:line="360" w:lineRule="auto"/>
        <w:jc w:val="both"/>
        <w:rPr>
          <w:b/>
          <w:bCs/>
          <w:lang w:val="en-CA"/>
        </w:rPr>
      </w:pPr>
    </w:p>
    <w:p w:rsidR="00346766" w:rsidRPr="00CA36B9" w:rsidRDefault="00346766" w:rsidP="00346766">
      <w:pPr>
        <w:keepNext/>
        <w:keepLines/>
        <w:spacing w:line="360" w:lineRule="auto"/>
        <w:jc w:val="both"/>
        <w:rPr>
          <w:b/>
          <w:bCs/>
          <w:lang w:val="en-CA"/>
        </w:rPr>
      </w:pPr>
    </w:p>
    <w:tbl>
      <w:tblPr>
        <w:tblStyle w:val="LightShading"/>
        <w:tblW w:w="8270" w:type="dxa"/>
        <w:tblLook w:val="04A0"/>
      </w:tblPr>
      <w:tblGrid>
        <w:gridCol w:w="1564"/>
        <w:gridCol w:w="6482"/>
        <w:gridCol w:w="224"/>
      </w:tblGrid>
      <w:tr w:rsidR="00346766" w:rsidRPr="00682E8F" w:rsidTr="00346766">
        <w:trPr>
          <w:cnfStyle w:val="100000000000"/>
        </w:trPr>
        <w:tc>
          <w:tcPr>
            <w:cnfStyle w:val="001000000000"/>
            <w:tcW w:w="0" w:type="auto"/>
          </w:tcPr>
          <w:p w:rsidR="00346766" w:rsidRPr="00682E8F" w:rsidRDefault="00346766" w:rsidP="00346766">
            <w:pPr>
              <w:rPr>
                <w:sz w:val="20"/>
                <w:szCs w:val="20"/>
              </w:rPr>
            </w:pPr>
            <w:r w:rsidRPr="00682E8F">
              <w:rPr>
                <w:sz w:val="20"/>
                <w:szCs w:val="20"/>
              </w:rPr>
              <w:t>Form 8-K Item</w:t>
            </w:r>
          </w:p>
        </w:tc>
        <w:tc>
          <w:tcPr>
            <w:tcW w:w="6482" w:type="dxa"/>
          </w:tcPr>
          <w:p w:rsidR="00346766" w:rsidRPr="00682E8F" w:rsidRDefault="00346766" w:rsidP="00346766">
            <w:pPr>
              <w:cnfStyle w:val="100000000000"/>
              <w:rPr>
                <w:sz w:val="20"/>
                <w:szCs w:val="20"/>
              </w:rPr>
            </w:pPr>
            <w:r>
              <w:rPr>
                <w:sz w:val="20"/>
                <w:szCs w:val="20"/>
              </w:rPr>
              <w:t>Description</w:t>
            </w:r>
          </w:p>
        </w:tc>
        <w:tc>
          <w:tcPr>
            <w:tcW w:w="0" w:type="auto"/>
          </w:tcPr>
          <w:p w:rsidR="00346766" w:rsidRPr="00682E8F" w:rsidRDefault="00346766" w:rsidP="00346766">
            <w:pPr>
              <w:cnfStyle w:val="100000000000"/>
              <w:rPr>
                <w:sz w:val="20"/>
                <w:szCs w:val="20"/>
              </w:rPr>
            </w:pPr>
          </w:p>
        </w:tc>
      </w:tr>
      <w:tr w:rsidR="00346766" w:rsidRPr="00DB426D" w:rsidTr="00346766">
        <w:trPr>
          <w:cnfStyle w:val="000000100000"/>
        </w:trPr>
        <w:tc>
          <w:tcPr>
            <w:cnfStyle w:val="001000000000"/>
            <w:tcW w:w="0" w:type="auto"/>
          </w:tcPr>
          <w:p w:rsidR="00346766" w:rsidRPr="00DB426D" w:rsidRDefault="00346766" w:rsidP="00346766">
            <w:pPr>
              <w:rPr>
                <w:sz w:val="20"/>
                <w:szCs w:val="20"/>
              </w:rPr>
            </w:pPr>
            <w:r w:rsidRPr="00DB426D">
              <w:rPr>
                <w:sz w:val="20"/>
                <w:szCs w:val="20"/>
              </w:rPr>
              <w:t>1.01</w:t>
            </w:r>
          </w:p>
        </w:tc>
        <w:tc>
          <w:tcPr>
            <w:tcW w:w="6482" w:type="dxa"/>
            <w:hideMark/>
          </w:tcPr>
          <w:p w:rsidR="00346766" w:rsidRPr="00DB426D" w:rsidRDefault="00346766" w:rsidP="00346766">
            <w:pPr>
              <w:cnfStyle w:val="000000100000"/>
              <w:rPr>
                <w:b/>
                <w:bCs/>
                <w:sz w:val="20"/>
                <w:szCs w:val="20"/>
              </w:rPr>
            </w:pPr>
            <w:r w:rsidRPr="00DB426D">
              <w:rPr>
                <w:sz w:val="20"/>
                <w:szCs w:val="20"/>
              </w:rPr>
              <w:t>Entry into a Material Definitive Agreement</w:t>
            </w:r>
          </w:p>
        </w:tc>
        <w:tc>
          <w:tcPr>
            <w:tcW w:w="0" w:type="auto"/>
          </w:tcPr>
          <w:p w:rsidR="00346766" w:rsidRPr="00DB426D" w:rsidRDefault="00346766" w:rsidP="00346766">
            <w:pPr>
              <w:cnfStyle w:val="000000100000"/>
              <w:rPr>
                <w:sz w:val="20"/>
                <w:szCs w:val="20"/>
              </w:rPr>
            </w:pPr>
          </w:p>
        </w:tc>
      </w:tr>
      <w:tr w:rsidR="00346766" w:rsidRPr="00DB426D" w:rsidTr="00346766">
        <w:tc>
          <w:tcPr>
            <w:cnfStyle w:val="001000000000"/>
            <w:tcW w:w="0" w:type="auto"/>
          </w:tcPr>
          <w:p w:rsidR="00346766" w:rsidRPr="00DB426D" w:rsidRDefault="00346766" w:rsidP="00346766">
            <w:pPr>
              <w:rPr>
                <w:sz w:val="20"/>
                <w:szCs w:val="20"/>
              </w:rPr>
            </w:pPr>
            <w:r w:rsidRPr="00DB426D">
              <w:rPr>
                <w:sz w:val="20"/>
                <w:szCs w:val="20"/>
              </w:rPr>
              <w:t>1.02</w:t>
            </w:r>
          </w:p>
        </w:tc>
        <w:tc>
          <w:tcPr>
            <w:tcW w:w="6482" w:type="dxa"/>
            <w:hideMark/>
          </w:tcPr>
          <w:p w:rsidR="00346766" w:rsidRPr="00DB426D" w:rsidRDefault="00346766" w:rsidP="00346766">
            <w:pPr>
              <w:cnfStyle w:val="000000000000"/>
              <w:rPr>
                <w:b/>
                <w:bCs/>
                <w:sz w:val="20"/>
                <w:szCs w:val="20"/>
              </w:rPr>
            </w:pPr>
            <w:r w:rsidRPr="00DB426D">
              <w:rPr>
                <w:sz w:val="20"/>
                <w:szCs w:val="20"/>
              </w:rPr>
              <w:t>Termination of a Material Definitive Agreement</w:t>
            </w:r>
          </w:p>
        </w:tc>
        <w:tc>
          <w:tcPr>
            <w:tcW w:w="0" w:type="auto"/>
          </w:tcPr>
          <w:p w:rsidR="00346766" w:rsidRPr="00DB426D" w:rsidRDefault="00346766" w:rsidP="00346766">
            <w:pPr>
              <w:cnfStyle w:val="000000000000"/>
              <w:rPr>
                <w:sz w:val="20"/>
                <w:szCs w:val="20"/>
              </w:rPr>
            </w:pPr>
          </w:p>
        </w:tc>
      </w:tr>
      <w:tr w:rsidR="00346766" w:rsidRPr="00DB426D" w:rsidTr="00346766">
        <w:trPr>
          <w:cnfStyle w:val="000000100000"/>
        </w:trPr>
        <w:tc>
          <w:tcPr>
            <w:cnfStyle w:val="001000000000"/>
            <w:tcW w:w="0" w:type="auto"/>
          </w:tcPr>
          <w:p w:rsidR="00346766" w:rsidRPr="00DB426D" w:rsidRDefault="00346766" w:rsidP="00346766">
            <w:pPr>
              <w:rPr>
                <w:sz w:val="20"/>
                <w:szCs w:val="20"/>
              </w:rPr>
            </w:pPr>
            <w:r w:rsidRPr="00DB426D">
              <w:rPr>
                <w:sz w:val="20"/>
                <w:szCs w:val="20"/>
              </w:rPr>
              <w:t>1.03</w:t>
            </w:r>
          </w:p>
        </w:tc>
        <w:tc>
          <w:tcPr>
            <w:tcW w:w="6482" w:type="dxa"/>
            <w:hideMark/>
          </w:tcPr>
          <w:p w:rsidR="00346766" w:rsidRPr="00DB426D" w:rsidRDefault="00346766" w:rsidP="00346766">
            <w:pPr>
              <w:cnfStyle w:val="000000100000"/>
              <w:rPr>
                <w:b/>
                <w:bCs/>
                <w:sz w:val="20"/>
                <w:szCs w:val="20"/>
              </w:rPr>
            </w:pPr>
            <w:r w:rsidRPr="00DB426D">
              <w:rPr>
                <w:sz w:val="20"/>
                <w:szCs w:val="20"/>
              </w:rPr>
              <w:t>Bankruptcy or Receivership</w:t>
            </w:r>
          </w:p>
        </w:tc>
        <w:tc>
          <w:tcPr>
            <w:tcW w:w="0" w:type="auto"/>
          </w:tcPr>
          <w:p w:rsidR="00346766" w:rsidRPr="00DB426D" w:rsidRDefault="00346766" w:rsidP="00346766">
            <w:pPr>
              <w:cnfStyle w:val="000000100000"/>
              <w:rPr>
                <w:sz w:val="20"/>
                <w:szCs w:val="20"/>
              </w:rPr>
            </w:pPr>
          </w:p>
        </w:tc>
      </w:tr>
      <w:tr w:rsidR="00346766" w:rsidRPr="00DB426D" w:rsidTr="00346766">
        <w:tc>
          <w:tcPr>
            <w:cnfStyle w:val="001000000000"/>
            <w:tcW w:w="0" w:type="auto"/>
          </w:tcPr>
          <w:p w:rsidR="00346766" w:rsidRPr="00DB426D" w:rsidRDefault="00346766" w:rsidP="00346766">
            <w:pPr>
              <w:rPr>
                <w:sz w:val="20"/>
                <w:szCs w:val="20"/>
              </w:rPr>
            </w:pPr>
            <w:r w:rsidRPr="00DB426D">
              <w:rPr>
                <w:sz w:val="20"/>
                <w:szCs w:val="20"/>
              </w:rPr>
              <w:t>1.04</w:t>
            </w:r>
          </w:p>
        </w:tc>
        <w:tc>
          <w:tcPr>
            <w:tcW w:w="6482" w:type="dxa"/>
            <w:hideMark/>
          </w:tcPr>
          <w:p w:rsidR="00346766" w:rsidRPr="00DB426D" w:rsidRDefault="00346766" w:rsidP="00346766">
            <w:pPr>
              <w:cnfStyle w:val="000000000000"/>
              <w:rPr>
                <w:b/>
                <w:bCs/>
                <w:sz w:val="20"/>
                <w:szCs w:val="20"/>
              </w:rPr>
            </w:pPr>
            <w:r w:rsidRPr="00DB426D">
              <w:rPr>
                <w:sz w:val="20"/>
                <w:szCs w:val="20"/>
              </w:rPr>
              <w:t>Mine Safety - Reporting of Shutdowns and Patterns of Violations</w:t>
            </w:r>
          </w:p>
        </w:tc>
        <w:tc>
          <w:tcPr>
            <w:tcW w:w="0" w:type="auto"/>
          </w:tcPr>
          <w:p w:rsidR="00346766" w:rsidRPr="00DB426D" w:rsidRDefault="00346766" w:rsidP="00346766">
            <w:pPr>
              <w:cnfStyle w:val="000000000000"/>
              <w:rPr>
                <w:sz w:val="20"/>
                <w:szCs w:val="20"/>
              </w:rPr>
            </w:pPr>
          </w:p>
        </w:tc>
      </w:tr>
      <w:tr w:rsidR="00346766" w:rsidRPr="00DB426D" w:rsidTr="00346766">
        <w:trPr>
          <w:cnfStyle w:val="000000100000"/>
        </w:trPr>
        <w:tc>
          <w:tcPr>
            <w:cnfStyle w:val="001000000000"/>
            <w:tcW w:w="0" w:type="auto"/>
          </w:tcPr>
          <w:p w:rsidR="00346766" w:rsidRPr="00DB426D" w:rsidRDefault="00346766" w:rsidP="00346766">
            <w:pPr>
              <w:rPr>
                <w:sz w:val="20"/>
                <w:szCs w:val="20"/>
              </w:rPr>
            </w:pPr>
            <w:r w:rsidRPr="00DB426D">
              <w:rPr>
                <w:sz w:val="20"/>
                <w:szCs w:val="20"/>
              </w:rPr>
              <w:t>2.01</w:t>
            </w:r>
          </w:p>
        </w:tc>
        <w:tc>
          <w:tcPr>
            <w:tcW w:w="6482" w:type="dxa"/>
            <w:hideMark/>
          </w:tcPr>
          <w:p w:rsidR="00346766" w:rsidRPr="00DB426D" w:rsidRDefault="00346766" w:rsidP="00346766">
            <w:pPr>
              <w:cnfStyle w:val="000000100000"/>
              <w:rPr>
                <w:b/>
                <w:bCs/>
                <w:sz w:val="20"/>
                <w:szCs w:val="20"/>
              </w:rPr>
            </w:pPr>
            <w:r w:rsidRPr="00DB426D">
              <w:rPr>
                <w:sz w:val="20"/>
                <w:szCs w:val="20"/>
              </w:rPr>
              <w:t>Completion of Acquisition or Disposition of Assets</w:t>
            </w:r>
          </w:p>
        </w:tc>
        <w:tc>
          <w:tcPr>
            <w:tcW w:w="0" w:type="auto"/>
          </w:tcPr>
          <w:p w:rsidR="00346766" w:rsidRPr="00DB426D" w:rsidRDefault="00346766" w:rsidP="00346766">
            <w:pPr>
              <w:cnfStyle w:val="000000100000"/>
              <w:rPr>
                <w:sz w:val="20"/>
                <w:szCs w:val="20"/>
              </w:rPr>
            </w:pPr>
          </w:p>
        </w:tc>
      </w:tr>
      <w:tr w:rsidR="00346766" w:rsidRPr="00DB426D" w:rsidTr="00346766">
        <w:tc>
          <w:tcPr>
            <w:cnfStyle w:val="001000000000"/>
            <w:tcW w:w="0" w:type="auto"/>
          </w:tcPr>
          <w:p w:rsidR="00346766" w:rsidRPr="00DB426D" w:rsidRDefault="00346766" w:rsidP="00346766">
            <w:pPr>
              <w:rPr>
                <w:sz w:val="20"/>
                <w:szCs w:val="20"/>
              </w:rPr>
            </w:pPr>
            <w:r w:rsidRPr="00DB426D">
              <w:rPr>
                <w:sz w:val="20"/>
                <w:szCs w:val="20"/>
              </w:rPr>
              <w:t>2.02</w:t>
            </w:r>
          </w:p>
        </w:tc>
        <w:tc>
          <w:tcPr>
            <w:tcW w:w="6482" w:type="dxa"/>
            <w:hideMark/>
          </w:tcPr>
          <w:p w:rsidR="00346766" w:rsidRPr="00DB426D" w:rsidRDefault="00346766" w:rsidP="00346766">
            <w:pPr>
              <w:cnfStyle w:val="000000000000"/>
              <w:rPr>
                <w:b/>
                <w:bCs/>
                <w:sz w:val="20"/>
                <w:szCs w:val="20"/>
              </w:rPr>
            </w:pPr>
            <w:r w:rsidRPr="00DB426D">
              <w:rPr>
                <w:sz w:val="20"/>
                <w:szCs w:val="20"/>
              </w:rPr>
              <w:t>Results of Operations and Financial Condition</w:t>
            </w:r>
          </w:p>
        </w:tc>
        <w:tc>
          <w:tcPr>
            <w:tcW w:w="0" w:type="auto"/>
          </w:tcPr>
          <w:p w:rsidR="00346766" w:rsidRPr="00DB426D" w:rsidRDefault="00346766" w:rsidP="00346766">
            <w:pPr>
              <w:cnfStyle w:val="000000000000"/>
              <w:rPr>
                <w:sz w:val="20"/>
                <w:szCs w:val="20"/>
              </w:rPr>
            </w:pPr>
          </w:p>
        </w:tc>
      </w:tr>
      <w:tr w:rsidR="00346766" w:rsidRPr="00DB426D" w:rsidTr="00346766">
        <w:trPr>
          <w:cnfStyle w:val="000000100000"/>
        </w:trPr>
        <w:tc>
          <w:tcPr>
            <w:cnfStyle w:val="001000000000"/>
            <w:tcW w:w="0" w:type="auto"/>
          </w:tcPr>
          <w:p w:rsidR="00346766" w:rsidRPr="00DB426D" w:rsidRDefault="00346766" w:rsidP="00346766">
            <w:pPr>
              <w:rPr>
                <w:sz w:val="20"/>
                <w:szCs w:val="20"/>
              </w:rPr>
            </w:pPr>
            <w:r w:rsidRPr="00DB426D">
              <w:rPr>
                <w:sz w:val="20"/>
                <w:szCs w:val="20"/>
              </w:rPr>
              <w:t>2.03</w:t>
            </w:r>
          </w:p>
        </w:tc>
        <w:tc>
          <w:tcPr>
            <w:tcW w:w="6482" w:type="dxa"/>
            <w:hideMark/>
          </w:tcPr>
          <w:p w:rsidR="00346766" w:rsidRPr="00DB426D" w:rsidRDefault="00346766" w:rsidP="00346766">
            <w:pPr>
              <w:cnfStyle w:val="000000100000"/>
              <w:rPr>
                <w:b/>
                <w:bCs/>
                <w:sz w:val="20"/>
                <w:szCs w:val="20"/>
              </w:rPr>
            </w:pPr>
            <w:r w:rsidRPr="00DB426D">
              <w:rPr>
                <w:sz w:val="20"/>
                <w:szCs w:val="20"/>
              </w:rPr>
              <w:t>Creation of a Direct Financial Obligation or an Obligation under an Off-Balance Sheet Arrangement of a Registrant</w:t>
            </w:r>
          </w:p>
        </w:tc>
        <w:tc>
          <w:tcPr>
            <w:tcW w:w="0" w:type="auto"/>
          </w:tcPr>
          <w:p w:rsidR="00346766" w:rsidRPr="00DB426D" w:rsidRDefault="00346766" w:rsidP="00346766">
            <w:pPr>
              <w:cnfStyle w:val="000000100000"/>
              <w:rPr>
                <w:sz w:val="20"/>
                <w:szCs w:val="20"/>
              </w:rPr>
            </w:pPr>
          </w:p>
        </w:tc>
      </w:tr>
      <w:tr w:rsidR="00346766" w:rsidRPr="00DB426D" w:rsidTr="00346766">
        <w:tc>
          <w:tcPr>
            <w:cnfStyle w:val="001000000000"/>
            <w:tcW w:w="0" w:type="auto"/>
          </w:tcPr>
          <w:p w:rsidR="00346766" w:rsidRPr="00DB426D" w:rsidRDefault="00346766" w:rsidP="00346766">
            <w:pPr>
              <w:rPr>
                <w:sz w:val="20"/>
                <w:szCs w:val="20"/>
              </w:rPr>
            </w:pPr>
            <w:r w:rsidRPr="00DB426D">
              <w:rPr>
                <w:sz w:val="20"/>
                <w:szCs w:val="20"/>
              </w:rPr>
              <w:t>2.04</w:t>
            </w:r>
          </w:p>
        </w:tc>
        <w:tc>
          <w:tcPr>
            <w:tcW w:w="6482" w:type="dxa"/>
            <w:hideMark/>
          </w:tcPr>
          <w:p w:rsidR="00346766" w:rsidRPr="00DB426D" w:rsidRDefault="00346766" w:rsidP="00346766">
            <w:pPr>
              <w:cnfStyle w:val="000000000000"/>
              <w:rPr>
                <w:b/>
                <w:bCs/>
                <w:sz w:val="20"/>
                <w:szCs w:val="20"/>
              </w:rPr>
            </w:pPr>
            <w:r w:rsidRPr="00DB426D">
              <w:rPr>
                <w:sz w:val="20"/>
                <w:szCs w:val="20"/>
              </w:rPr>
              <w:t>Triggering Events That Accelerate or Increase a Direct Financial Obligation or an Obligation under an Off-Balance Sheet Arrangement</w:t>
            </w:r>
          </w:p>
        </w:tc>
        <w:tc>
          <w:tcPr>
            <w:tcW w:w="0" w:type="auto"/>
          </w:tcPr>
          <w:p w:rsidR="00346766" w:rsidRPr="00DB426D" w:rsidRDefault="00346766" w:rsidP="00346766">
            <w:pPr>
              <w:cnfStyle w:val="000000000000"/>
              <w:rPr>
                <w:sz w:val="20"/>
                <w:szCs w:val="20"/>
              </w:rPr>
            </w:pPr>
          </w:p>
        </w:tc>
      </w:tr>
      <w:tr w:rsidR="00346766" w:rsidRPr="00DB426D" w:rsidTr="00346766">
        <w:trPr>
          <w:cnfStyle w:val="000000100000"/>
        </w:trPr>
        <w:tc>
          <w:tcPr>
            <w:cnfStyle w:val="001000000000"/>
            <w:tcW w:w="0" w:type="auto"/>
          </w:tcPr>
          <w:p w:rsidR="00346766" w:rsidRPr="00DB426D" w:rsidRDefault="00346766" w:rsidP="00346766">
            <w:pPr>
              <w:rPr>
                <w:sz w:val="20"/>
                <w:szCs w:val="20"/>
              </w:rPr>
            </w:pPr>
            <w:r w:rsidRPr="00DB426D">
              <w:rPr>
                <w:sz w:val="20"/>
                <w:szCs w:val="20"/>
              </w:rPr>
              <w:t>2.05</w:t>
            </w:r>
          </w:p>
        </w:tc>
        <w:tc>
          <w:tcPr>
            <w:tcW w:w="6482" w:type="dxa"/>
            <w:hideMark/>
          </w:tcPr>
          <w:p w:rsidR="00346766" w:rsidRPr="00DB426D" w:rsidRDefault="00346766" w:rsidP="00346766">
            <w:pPr>
              <w:cnfStyle w:val="000000100000"/>
              <w:rPr>
                <w:b/>
                <w:bCs/>
                <w:sz w:val="20"/>
                <w:szCs w:val="20"/>
              </w:rPr>
            </w:pPr>
            <w:r w:rsidRPr="00DB426D">
              <w:rPr>
                <w:sz w:val="20"/>
                <w:szCs w:val="20"/>
              </w:rPr>
              <w:t>Costs Associated with Exit or Disposal Activities</w:t>
            </w:r>
          </w:p>
        </w:tc>
        <w:tc>
          <w:tcPr>
            <w:tcW w:w="0" w:type="auto"/>
          </w:tcPr>
          <w:p w:rsidR="00346766" w:rsidRPr="00DB426D" w:rsidRDefault="00346766" w:rsidP="00346766">
            <w:pPr>
              <w:cnfStyle w:val="000000100000"/>
              <w:rPr>
                <w:sz w:val="20"/>
                <w:szCs w:val="20"/>
              </w:rPr>
            </w:pPr>
          </w:p>
        </w:tc>
      </w:tr>
      <w:tr w:rsidR="00346766" w:rsidRPr="00DB426D" w:rsidTr="00346766">
        <w:tc>
          <w:tcPr>
            <w:cnfStyle w:val="001000000000"/>
            <w:tcW w:w="0" w:type="auto"/>
          </w:tcPr>
          <w:p w:rsidR="00346766" w:rsidRPr="00DB426D" w:rsidRDefault="00346766" w:rsidP="00346766">
            <w:pPr>
              <w:rPr>
                <w:sz w:val="20"/>
                <w:szCs w:val="20"/>
              </w:rPr>
            </w:pPr>
            <w:r w:rsidRPr="00DB426D">
              <w:rPr>
                <w:sz w:val="20"/>
                <w:szCs w:val="20"/>
              </w:rPr>
              <w:t>2.06</w:t>
            </w:r>
          </w:p>
        </w:tc>
        <w:tc>
          <w:tcPr>
            <w:tcW w:w="6482" w:type="dxa"/>
            <w:hideMark/>
          </w:tcPr>
          <w:p w:rsidR="00346766" w:rsidRPr="00DB426D" w:rsidRDefault="00346766" w:rsidP="00346766">
            <w:pPr>
              <w:cnfStyle w:val="000000000000"/>
              <w:rPr>
                <w:b/>
                <w:bCs/>
                <w:sz w:val="20"/>
                <w:szCs w:val="20"/>
              </w:rPr>
            </w:pPr>
            <w:r w:rsidRPr="00DB426D">
              <w:rPr>
                <w:sz w:val="20"/>
                <w:szCs w:val="20"/>
              </w:rPr>
              <w:t>Material Impairments</w:t>
            </w:r>
          </w:p>
        </w:tc>
        <w:tc>
          <w:tcPr>
            <w:tcW w:w="0" w:type="auto"/>
          </w:tcPr>
          <w:p w:rsidR="00346766" w:rsidRPr="00DB426D" w:rsidRDefault="00346766" w:rsidP="00346766">
            <w:pPr>
              <w:cnfStyle w:val="000000000000"/>
              <w:rPr>
                <w:sz w:val="20"/>
                <w:szCs w:val="20"/>
              </w:rPr>
            </w:pPr>
          </w:p>
        </w:tc>
      </w:tr>
      <w:tr w:rsidR="00346766" w:rsidRPr="00DB426D" w:rsidTr="00346766">
        <w:trPr>
          <w:cnfStyle w:val="000000100000"/>
        </w:trPr>
        <w:tc>
          <w:tcPr>
            <w:cnfStyle w:val="001000000000"/>
            <w:tcW w:w="0" w:type="auto"/>
          </w:tcPr>
          <w:p w:rsidR="00346766" w:rsidRPr="00DB426D" w:rsidRDefault="00346766" w:rsidP="00346766">
            <w:pPr>
              <w:rPr>
                <w:sz w:val="20"/>
                <w:szCs w:val="20"/>
              </w:rPr>
            </w:pPr>
            <w:r w:rsidRPr="00DB426D">
              <w:rPr>
                <w:sz w:val="20"/>
                <w:szCs w:val="20"/>
              </w:rPr>
              <w:t>3.01</w:t>
            </w:r>
          </w:p>
        </w:tc>
        <w:tc>
          <w:tcPr>
            <w:tcW w:w="6482" w:type="dxa"/>
            <w:hideMark/>
          </w:tcPr>
          <w:p w:rsidR="00346766" w:rsidRPr="00DB426D" w:rsidRDefault="00346766" w:rsidP="00346766">
            <w:pPr>
              <w:cnfStyle w:val="000000100000"/>
              <w:rPr>
                <w:b/>
                <w:bCs/>
                <w:sz w:val="20"/>
                <w:szCs w:val="20"/>
              </w:rPr>
            </w:pPr>
            <w:r w:rsidRPr="00DB426D">
              <w:rPr>
                <w:sz w:val="20"/>
                <w:szCs w:val="20"/>
              </w:rPr>
              <w:t>Notice of Delisting or Failure to Satisfy a Continued Listing Rule or Standard; Transfer of Listing</w:t>
            </w:r>
          </w:p>
        </w:tc>
        <w:tc>
          <w:tcPr>
            <w:tcW w:w="0" w:type="auto"/>
          </w:tcPr>
          <w:p w:rsidR="00346766" w:rsidRPr="00DB426D" w:rsidRDefault="00346766" w:rsidP="00346766">
            <w:pPr>
              <w:cnfStyle w:val="000000100000"/>
              <w:rPr>
                <w:sz w:val="20"/>
                <w:szCs w:val="20"/>
              </w:rPr>
            </w:pPr>
          </w:p>
        </w:tc>
      </w:tr>
      <w:tr w:rsidR="00346766" w:rsidRPr="00DB426D" w:rsidTr="00346766">
        <w:tc>
          <w:tcPr>
            <w:cnfStyle w:val="001000000000"/>
            <w:tcW w:w="0" w:type="auto"/>
          </w:tcPr>
          <w:p w:rsidR="00346766" w:rsidRPr="00DB426D" w:rsidRDefault="00346766" w:rsidP="00346766">
            <w:pPr>
              <w:rPr>
                <w:sz w:val="20"/>
                <w:szCs w:val="20"/>
              </w:rPr>
            </w:pPr>
            <w:r w:rsidRPr="00DB426D">
              <w:rPr>
                <w:sz w:val="20"/>
                <w:szCs w:val="20"/>
              </w:rPr>
              <w:t>3.02</w:t>
            </w:r>
          </w:p>
        </w:tc>
        <w:tc>
          <w:tcPr>
            <w:tcW w:w="6482" w:type="dxa"/>
            <w:hideMark/>
          </w:tcPr>
          <w:p w:rsidR="00346766" w:rsidRPr="00DB426D" w:rsidRDefault="00346766" w:rsidP="00346766">
            <w:pPr>
              <w:cnfStyle w:val="000000000000"/>
              <w:rPr>
                <w:b/>
                <w:bCs/>
                <w:sz w:val="20"/>
                <w:szCs w:val="20"/>
              </w:rPr>
            </w:pPr>
            <w:r w:rsidRPr="00DB426D">
              <w:rPr>
                <w:sz w:val="20"/>
                <w:szCs w:val="20"/>
              </w:rPr>
              <w:t>Unregistered Sales of Equity Securities</w:t>
            </w:r>
          </w:p>
        </w:tc>
        <w:tc>
          <w:tcPr>
            <w:tcW w:w="0" w:type="auto"/>
          </w:tcPr>
          <w:p w:rsidR="00346766" w:rsidRPr="00DB426D" w:rsidRDefault="00346766" w:rsidP="00346766">
            <w:pPr>
              <w:cnfStyle w:val="000000000000"/>
              <w:rPr>
                <w:sz w:val="20"/>
                <w:szCs w:val="20"/>
              </w:rPr>
            </w:pPr>
          </w:p>
        </w:tc>
      </w:tr>
      <w:tr w:rsidR="00346766" w:rsidRPr="00DB426D" w:rsidTr="00346766">
        <w:trPr>
          <w:cnfStyle w:val="000000100000"/>
        </w:trPr>
        <w:tc>
          <w:tcPr>
            <w:cnfStyle w:val="001000000000"/>
            <w:tcW w:w="0" w:type="auto"/>
          </w:tcPr>
          <w:p w:rsidR="00346766" w:rsidRPr="00DB426D" w:rsidRDefault="00346766" w:rsidP="00346766">
            <w:pPr>
              <w:rPr>
                <w:sz w:val="20"/>
                <w:szCs w:val="20"/>
              </w:rPr>
            </w:pPr>
            <w:r w:rsidRPr="00DB426D">
              <w:rPr>
                <w:sz w:val="20"/>
                <w:szCs w:val="20"/>
              </w:rPr>
              <w:t>3.03</w:t>
            </w:r>
          </w:p>
        </w:tc>
        <w:tc>
          <w:tcPr>
            <w:tcW w:w="6482" w:type="dxa"/>
            <w:hideMark/>
          </w:tcPr>
          <w:p w:rsidR="00346766" w:rsidRPr="00DB426D" w:rsidRDefault="00346766" w:rsidP="00346766">
            <w:pPr>
              <w:cnfStyle w:val="000000100000"/>
              <w:rPr>
                <w:b/>
                <w:bCs/>
                <w:sz w:val="20"/>
                <w:szCs w:val="20"/>
              </w:rPr>
            </w:pPr>
            <w:r w:rsidRPr="00DB426D">
              <w:rPr>
                <w:sz w:val="20"/>
                <w:szCs w:val="20"/>
              </w:rPr>
              <w:t>Material Modification to Rights of Security Holders</w:t>
            </w:r>
          </w:p>
        </w:tc>
        <w:tc>
          <w:tcPr>
            <w:tcW w:w="0" w:type="auto"/>
          </w:tcPr>
          <w:p w:rsidR="00346766" w:rsidRPr="00DB426D" w:rsidRDefault="00346766" w:rsidP="00346766">
            <w:pPr>
              <w:cnfStyle w:val="000000100000"/>
              <w:rPr>
                <w:sz w:val="20"/>
                <w:szCs w:val="20"/>
              </w:rPr>
            </w:pPr>
          </w:p>
        </w:tc>
      </w:tr>
      <w:tr w:rsidR="00346766" w:rsidRPr="00DB426D" w:rsidTr="00346766">
        <w:tc>
          <w:tcPr>
            <w:cnfStyle w:val="001000000000"/>
            <w:tcW w:w="0" w:type="auto"/>
          </w:tcPr>
          <w:p w:rsidR="00346766" w:rsidRPr="00DB426D" w:rsidRDefault="00346766" w:rsidP="00346766">
            <w:pPr>
              <w:rPr>
                <w:sz w:val="20"/>
                <w:szCs w:val="20"/>
              </w:rPr>
            </w:pPr>
            <w:r w:rsidRPr="00DB426D">
              <w:rPr>
                <w:sz w:val="20"/>
                <w:szCs w:val="20"/>
              </w:rPr>
              <w:t>4.01</w:t>
            </w:r>
          </w:p>
        </w:tc>
        <w:tc>
          <w:tcPr>
            <w:tcW w:w="6482" w:type="dxa"/>
            <w:hideMark/>
          </w:tcPr>
          <w:p w:rsidR="00346766" w:rsidRPr="00DB426D" w:rsidRDefault="00346766" w:rsidP="00346766">
            <w:pPr>
              <w:cnfStyle w:val="000000000000"/>
              <w:rPr>
                <w:b/>
                <w:bCs/>
                <w:sz w:val="20"/>
                <w:szCs w:val="20"/>
              </w:rPr>
            </w:pPr>
            <w:r w:rsidRPr="00DB426D">
              <w:rPr>
                <w:sz w:val="20"/>
                <w:szCs w:val="20"/>
              </w:rPr>
              <w:t>Changes in Registrant's Certifying Accountant</w:t>
            </w:r>
          </w:p>
        </w:tc>
        <w:tc>
          <w:tcPr>
            <w:tcW w:w="0" w:type="auto"/>
          </w:tcPr>
          <w:p w:rsidR="00346766" w:rsidRPr="00DB426D" w:rsidRDefault="00346766" w:rsidP="00346766">
            <w:pPr>
              <w:cnfStyle w:val="000000000000"/>
              <w:rPr>
                <w:sz w:val="20"/>
                <w:szCs w:val="20"/>
              </w:rPr>
            </w:pPr>
          </w:p>
        </w:tc>
      </w:tr>
      <w:tr w:rsidR="00346766" w:rsidRPr="00DB426D" w:rsidTr="00346766">
        <w:trPr>
          <w:cnfStyle w:val="000000100000"/>
        </w:trPr>
        <w:tc>
          <w:tcPr>
            <w:cnfStyle w:val="001000000000"/>
            <w:tcW w:w="0" w:type="auto"/>
          </w:tcPr>
          <w:p w:rsidR="00346766" w:rsidRPr="00DB426D" w:rsidRDefault="00346766" w:rsidP="00346766">
            <w:pPr>
              <w:rPr>
                <w:sz w:val="20"/>
                <w:szCs w:val="20"/>
              </w:rPr>
            </w:pPr>
            <w:r w:rsidRPr="00DB426D">
              <w:rPr>
                <w:sz w:val="20"/>
                <w:szCs w:val="20"/>
              </w:rPr>
              <w:t>4.02</w:t>
            </w:r>
          </w:p>
        </w:tc>
        <w:tc>
          <w:tcPr>
            <w:tcW w:w="6482" w:type="dxa"/>
            <w:hideMark/>
          </w:tcPr>
          <w:p w:rsidR="00346766" w:rsidRPr="00DB426D" w:rsidRDefault="00346766" w:rsidP="00346766">
            <w:pPr>
              <w:cnfStyle w:val="000000100000"/>
              <w:rPr>
                <w:b/>
                <w:bCs/>
                <w:sz w:val="20"/>
                <w:szCs w:val="20"/>
              </w:rPr>
            </w:pPr>
            <w:r w:rsidRPr="00DB426D">
              <w:rPr>
                <w:sz w:val="20"/>
                <w:szCs w:val="20"/>
              </w:rPr>
              <w:t>Non-Reliance on Previously Issued Financial Statements or a Related Audit Report or Completed Interim Review</w:t>
            </w:r>
          </w:p>
        </w:tc>
        <w:tc>
          <w:tcPr>
            <w:tcW w:w="0" w:type="auto"/>
          </w:tcPr>
          <w:p w:rsidR="00346766" w:rsidRPr="00DB426D" w:rsidRDefault="00346766" w:rsidP="00346766">
            <w:pPr>
              <w:cnfStyle w:val="000000100000"/>
              <w:rPr>
                <w:sz w:val="20"/>
                <w:szCs w:val="20"/>
              </w:rPr>
            </w:pPr>
          </w:p>
        </w:tc>
      </w:tr>
      <w:tr w:rsidR="00346766" w:rsidRPr="00DB426D" w:rsidTr="00346766">
        <w:tc>
          <w:tcPr>
            <w:cnfStyle w:val="001000000000"/>
            <w:tcW w:w="0" w:type="auto"/>
          </w:tcPr>
          <w:p w:rsidR="00346766" w:rsidRPr="00DB426D" w:rsidRDefault="00346766" w:rsidP="00346766">
            <w:pPr>
              <w:rPr>
                <w:sz w:val="20"/>
                <w:szCs w:val="20"/>
              </w:rPr>
            </w:pPr>
            <w:r w:rsidRPr="00DB426D">
              <w:rPr>
                <w:sz w:val="20"/>
                <w:szCs w:val="20"/>
              </w:rPr>
              <w:t>5.01</w:t>
            </w:r>
          </w:p>
        </w:tc>
        <w:tc>
          <w:tcPr>
            <w:tcW w:w="6482" w:type="dxa"/>
            <w:hideMark/>
          </w:tcPr>
          <w:p w:rsidR="00346766" w:rsidRPr="00DB426D" w:rsidRDefault="00346766" w:rsidP="00346766">
            <w:pPr>
              <w:cnfStyle w:val="000000000000"/>
              <w:rPr>
                <w:b/>
                <w:bCs/>
                <w:sz w:val="20"/>
                <w:szCs w:val="20"/>
              </w:rPr>
            </w:pPr>
            <w:r w:rsidRPr="00DB426D">
              <w:rPr>
                <w:sz w:val="20"/>
                <w:szCs w:val="20"/>
              </w:rPr>
              <w:t>Changes in Control of Registrant</w:t>
            </w:r>
          </w:p>
        </w:tc>
        <w:tc>
          <w:tcPr>
            <w:tcW w:w="0" w:type="auto"/>
          </w:tcPr>
          <w:p w:rsidR="00346766" w:rsidRPr="00DB426D" w:rsidRDefault="00346766" w:rsidP="00346766">
            <w:pPr>
              <w:cnfStyle w:val="000000000000"/>
              <w:rPr>
                <w:sz w:val="20"/>
                <w:szCs w:val="20"/>
              </w:rPr>
            </w:pPr>
          </w:p>
        </w:tc>
      </w:tr>
      <w:tr w:rsidR="00346766" w:rsidRPr="00DB426D" w:rsidTr="00346766">
        <w:trPr>
          <w:cnfStyle w:val="000000100000"/>
        </w:trPr>
        <w:tc>
          <w:tcPr>
            <w:cnfStyle w:val="001000000000"/>
            <w:tcW w:w="0" w:type="auto"/>
          </w:tcPr>
          <w:p w:rsidR="00346766" w:rsidRPr="00DB426D" w:rsidRDefault="00346766" w:rsidP="00346766">
            <w:pPr>
              <w:rPr>
                <w:sz w:val="20"/>
                <w:szCs w:val="20"/>
              </w:rPr>
            </w:pPr>
            <w:r w:rsidRPr="00DB426D">
              <w:rPr>
                <w:sz w:val="20"/>
                <w:szCs w:val="20"/>
              </w:rPr>
              <w:t>5.02</w:t>
            </w:r>
          </w:p>
        </w:tc>
        <w:tc>
          <w:tcPr>
            <w:tcW w:w="6482" w:type="dxa"/>
            <w:hideMark/>
          </w:tcPr>
          <w:p w:rsidR="00346766" w:rsidRPr="00DB426D" w:rsidRDefault="00346766" w:rsidP="00346766">
            <w:pPr>
              <w:cnfStyle w:val="000000100000"/>
              <w:rPr>
                <w:b/>
                <w:bCs/>
                <w:sz w:val="20"/>
                <w:szCs w:val="20"/>
              </w:rPr>
            </w:pPr>
            <w:r w:rsidRPr="00DB426D">
              <w:rPr>
                <w:sz w:val="20"/>
                <w:szCs w:val="20"/>
              </w:rPr>
              <w:t>Departure of Directors or Certain Officers; Election of Directors; Appointment of Certain Officers; Compensatory Arrangements of Certain Officers</w:t>
            </w:r>
          </w:p>
        </w:tc>
        <w:tc>
          <w:tcPr>
            <w:tcW w:w="0" w:type="auto"/>
          </w:tcPr>
          <w:p w:rsidR="00346766" w:rsidRPr="00DB426D" w:rsidRDefault="00346766" w:rsidP="00346766">
            <w:pPr>
              <w:cnfStyle w:val="000000100000"/>
              <w:rPr>
                <w:sz w:val="20"/>
                <w:szCs w:val="20"/>
              </w:rPr>
            </w:pPr>
          </w:p>
        </w:tc>
      </w:tr>
      <w:tr w:rsidR="00346766" w:rsidRPr="00DB426D" w:rsidTr="00346766">
        <w:tc>
          <w:tcPr>
            <w:cnfStyle w:val="001000000000"/>
            <w:tcW w:w="0" w:type="auto"/>
          </w:tcPr>
          <w:p w:rsidR="00346766" w:rsidRPr="00DB426D" w:rsidRDefault="00346766" w:rsidP="00346766">
            <w:pPr>
              <w:rPr>
                <w:sz w:val="20"/>
                <w:szCs w:val="20"/>
              </w:rPr>
            </w:pPr>
            <w:r w:rsidRPr="00DB426D">
              <w:rPr>
                <w:sz w:val="20"/>
                <w:szCs w:val="20"/>
              </w:rPr>
              <w:t>5.03</w:t>
            </w:r>
          </w:p>
        </w:tc>
        <w:tc>
          <w:tcPr>
            <w:tcW w:w="6482" w:type="dxa"/>
            <w:hideMark/>
          </w:tcPr>
          <w:p w:rsidR="00346766" w:rsidRPr="00DB426D" w:rsidRDefault="00346766" w:rsidP="00346766">
            <w:pPr>
              <w:cnfStyle w:val="000000000000"/>
              <w:rPr>
                <w:b/>
                <w:bCs/>
                <w:sz w:val="20"/>
                <w:szCs w:val="20"/>
              </w:rPr>
            </w:pPr>
            <w:r w:rsidRPr="00DB426D">
              <w:rPr>
                <w:sz w:val="20"/>
                <w:szCs w:val="20"/>
              </w:rPr>
              <w:t>Amendments to Articles of Incorporation or Bylaws; Change in Fiscal Year</w:t>
            </w:r>
          </w:p>
        </w:tc>
        <w:tc>
          <w:tcPr>
            <w:tcW w:w="0" w:type="auto"/>
          </w:tcPr>
          <w:p w:rsidR="00346766" w:rsidRPr="00DB426D" w:rsidRDefault="00346766" w:rsidP="00346766">
            <w:pPr>
              <w:cnfStyle w:val="000000000000"/>
              <w:rPr>
                <w:sz w:val="20"/>
                <w:szCs w:val="20"/>
              </w:rPr>
            </w:pPr>
          </w:p>
        </w:tc>
      </w:tr>
      <w:tr w:rsidR="00346766" w:rsidRPr="00DB426D" w:rsidTr="00346766">
        <w:trPr>
          <w:cnfStyle w:val="000000100000"/>
        </w:trPr>
        <w:tc>
          <w:tcPr>
            <w:cnfStyle w:val="001000000000"/>
            <w:tcW w:w="0" w:type="auto"/>
          </w:tcPr>
          <w:p w:rsidR="00346766" w:rsidRPr="00DB426D" w:rsidRDefault="00346766" w:rsidP="00346766">
            <w:pPr>
              <w:rPr>
                <w:sz w:val="20"/>
                <w:szCs w:val="20"/>
              </w:rPr>
            </w:pPr>
            <w:r w:rsidRPr="00DB426D">
              <w:rPr>
                <w:sz w:val="20"/>
                <w:szCs w:val="20"/>
              </w:rPr>
              <w:t>5.04</w:t>
            </w:r>
          </w:p>
        </w:tc>
        <w:tc>
          <w:tcPr>
            <w:tcW w:w="6482" w:type="dxa"/>
            <w:hideMark/>
          </w:tcPr>
          <w:p w:rsidR="00346766" w:rsidRPr="00DB426D" w:rsidRDefault="00346766" w:rsidP="00346766">
            <w:pPr>
              <w:cnfStyle w:val="000000100000"/>
              <w:rPr>
                <w:b/>
                <w:bCs/>
                <w:sz w:val="20"/>
                <w:szCs w:val="20"/>
              </w:rPr>
            </w:pPr>
            <w:r w:rsidRPr="00DB426D">
              <w:rPr>
                <w:sz w:val="20"/>
                <w:szCs w:val="20"/>
              </w:rPr>
              <w:t>Temporary Suspension of Trading Under Registrant's Employee Benefit Plans</w:t>
            </w:r>
          </w:p>
        </w:tc>
        <w:tc>
          <w:tcPr>
            <w:tcW w:w="0" w:type="auto"/>
          </w:tcPr>
          <w:p w:rsidR="00346766" w:rsidRPr="00DB426D" w:rsidRDefault="00346766" w:rsidP="00346766">
            <w:pPr>
              <w:cnfStyle w:val="000000100000"/>
              <w:rPr>
                <w:sz w:val="20"/>
                <w:szCs w:val="20"/>
              </w:rPr>
            </w:pPr>
          </w:p>
        </w:tc>
      </w:tr>
      <w:tr w:rsidR="00346766" w:rsidRPr="00DB426D" w:rsidTr="00346766">
        <w:tc>
          <w:tcPr>
            <w:cnfStyle w:val="001000000000"/>
            <w:tcW w:w="0" w:type="auto"/>
          </w:tcPr>
          <w:p w:rsidR="00346766" w:rsidRPr="00DB426D" w:rsidRDefault="00346766" w:rsidP="00346766">
            <w:pPr>
              <w:rPr>
                <w:sz w:val="20"/>
                <w:szCs w:val="20"/>
              </w:rPr>
            </w:pPr>
            <w:r w:rsidRPr="00DB426D">
              <w:rPr>
                <w:sz w:val="20"/>
                <w:szCs w:val="20"/>
              </w:rPr>
              <w:t>5.05</w:t>
            </w:r>
          </w:p>
        </w:tc>
        <w:tc>
          <w:tcPr>
            <w:tcW w:w="6482" w:type="dxa"/>
            <w:hideMark/>
          </w:tcPr>
          <w:p w:rsidR="00346766" w:rsidRPr="00DB426D" w:rsidRDefault="00346766" w:rsidP="00346766">
            <w:pPr>
              <w:cnfStyle w:val="000000000000"/>
              <w:rPr>
                <w:b/>
                <w:bCs/>
                <w:sz w:val="20"/>
                <w:szCs w:val="20"/>
              </w:rPr>
            </w:pPr>
            <w:r w:rsidRPr="00DB426D">
              <w:rPr>
                <w:sz w:val="20"/>
                <w:szCs w:val="20"/>
              </w:rPr>
              <w:t>Amendment to Registrant's Code of Ethics, or Waiver of a Provision of the Code of Ethics</w:t>
            </w:r>
          </w:p>
        </w:tc>
        <w:tc>
          <w:tcPr>
            <w:tcW w:w="0" w:type="auto"/>
          </w:tcPr>
          <w:p w:rsidR="00346766" w:rsidRPr="00DB426D" w:rsidRDefault="00346766" w:rsidP="00346766">
            <w:pPr>
              <w:cnfStyle w:val="000000000000"/>
              <w:rPr>
                <w:sz w:val="20"/>
                <w:szCs w:val="20"/>
              </w:rPr>
            </w:pPr>
          </w:p>
        </w:tc>
      </w:tr>
      <w:tr w:rsidR="00346766" w:rsidRPr="00DB426D" w:rsidTr="00346766">
        <w:trPr>
          <w:cnfStyle w:val="000000100000"/>
        </w:trPr>
        <w:tc>
          <w:tcPr>
            <w:cnfStyle w:val="001000000000"/>
            <w:tcW w:w="0" w:type="auto"/>
          </w:tcPr>
          <w:p w:rsidR="00346766" w:rsidRPr="00DB426D" w:rsidRDefault="00346766" w:rsidP="00346766">
            <w:pPr>
              <w:rPr>
                <w:sz w:val="20"/>
                <w:szCs w:val="20"/>
              </w:rPr>
            </w:pPr>
            <w:r w:rsidRPr="00DB426D">
              <w:rPr>
                <w:sz w:val="20"/>
                <w:szCs w:val="20"/>
              </w:rPr>
              <w:t>5.06</w:t>
            </w:r>
          </w:p>
        </w:tc>
        <w:tc>
          <w:tcPr>
            <w:tcW w:w="6482" w:type="dxa"/>
            <w:hideMark/>
          </w:tcPr>
          <w:p w:rsidR="00346766" w:rsidRPr="00DB426D" w:rsidRDefault="00346766" w:rsidP="00346766">
            <w:pPr>
              <w:cnfStyle w:val="000000100000"/>
              <w:rPr>
                <w:b/>
                <w:bCs/>
                <w:sz w:val="20"/>
                <w:szCs w:val="20"/>
              </w:rPr>
            </w:pPr>
            <w:r w:rsidRPr="00DB426D">
              <w:rPr>
                <w:sz w:val="20"/>
                <w:szCs w:val="20"/>
              </w:rPr>
              <w:t>Change in Shell Company Status</w:t>
            </w:r>
          </w:p>
        </w:tc>
        <w:tc>
          <w:tcPr>
            <w:tcW w:w="0" w:type="auto"/>
          </w:tcPr>
          <w:p w:rsidR="00346766" w:rsidRPr="00DB426D" w:rsidRDefault="00346766" w:rsidP="00346766">
            <w:pPr>
              <w:cnfStyle w:val="000000100000"/>
              <w:rPr>
                <w:sz w:val="20"/>
                <w:szCs w:val="20"/>
              </w:rPr>
            </w:pPr>
          </w:p>
        </w:tc>
      </w:tr>
      <w:tr w:rsidR="00346766" w:rsidRPr="00DB426D" w:rsidTr="00346766">
        <w:tc>
          <w:tcPr>
            <w:cnfStyle w:val="001000000000"/>
            <w:tcW w:w="0" w:type="auto"/>
          </w:tcPr>
          <w:p w:rsidR="00346766" w:rsidRPr="00DB426D" w:rsidRDefault="00346766" w:rsidP="00346766">
            <w:pPr>
              <w:rPr>
                <w:sz w:val="20"/>
                <w:szCs w:val="20"/>
              </w:rPr>
            </w:pPr>
            <w:r w:rsidRPr="00DB426D">
              <w:rPr>
                <w:sz w:val="20"/>
                <w:szCs w:val="20"/>
              </w:rPr>
              <w:t>5.07</w:t>
            </w:r>
          </w:p>
        </w:tc>
        <w:tc>
          <w:tcPr>
            <w:tcW w:w="6482" w:type="dxa"/>
            <w:hideMark/>
          </w:tcPr>
          <w:p w:rsidR="00346766" w:rsidRPr="00DB426D" w:rsidRDefault="00346766" w:rsidP="00346766">
            <w:pPr>
              <w:cnfStyle w:val="000000000000"/>
              <w:rPr>
                <w:b/>
                <w:bCs/>
                <w:sz w:val="20"/>
                <w:szCs w:val="20"/>
              </w:rPr>
            </w:pPr>
            <w:r w:rsidRPr="00DB426D">
              <w:rPr>
                <w:sz w:val="20"/>
                <w:szCs w:val="20"/>
              </w:rPr>
              <w:t>Submission of Matters to a Vote of Security Holders</w:t>
            </w:r>
          </w:p>
        </w:tc>
        <w:tc>
          <w:tcPr>
            <w:tcW w:w="0" w:type="auto"/>
          </w:tcPr>
          <w:p w:rsidR="00346766" w:rsidRPr="00DB426D" w:rsidRDefault="00346766" w:rsidP="00346766">
            <w:pPr>
              <w:cnfStyle w:val="000000000000"/>
              <w:rPr>
                <w:sz w:val="20"/>
                <w:szCs w:val="20"/>
              </w:rPr>
            </w:pPr>
          </w:p>
        </w:tc>
      </w:tr>
      <w:tr w:rsidR="00346766" w:rsidRPr="00DB426D" w:rsidTr="00346766">
        <w:trPr>
          <w:cnfStyle w:val="000000100000"/>
        </w:trPr>
        <w:tc>
          <w:tcPr>
            <w:cnfStyle w:val="001000000000"/>
            <w:tcW w:w="0" w:type="auto"/>
          </w:tcPr>
          <w:p w:rsidR="00346766" w:rsidRPr="00DB426D" w:rsidRDefault="00346766" w:rsidP="00346766">
            <w:pPr>
              <w:rPr>
                <w:sz w:val="20"/>
                <w:szCs w:val="20"/>
              </w:rPr>
            </w:pPr>
            <w:r w:rsidRPr="00DB426D">
              <w:rPr>
                <w:sz w:val="20"/>
                <w:szCs w:val="20"/>
              </w:rPr>
              <w:t>5.08</w:t>
            </w:r>
          </w:p>
        </w:tc>
        <w:tc>
          <w:tcPr>
            <w:tcW w:w="6482" w:type="dxa"/>
            <w:hideMark/>
          </w:tcPr>
          <w:p w:rsidR="00346766" w:rsidRPr="00DB426D" w:rsidRDefault="00346766" w:rsidP="00346766">
            <w:pPr>
              <w:cnfStyle w:val="000000100000"/>
              <w:rPr>
                <w:b/>
                <w:bCs/>
                <w:sz w:val="20"/>
                <w:szCs w:val="20"/>
              </w:rPr>
            </w:pPr>
            <w:r w:rsidRPr="00DB426D">
              <w:rPr>
                <w:sz w:val="20"/>
                <w:szCs w:val="20"/>
              </w:rPr>
              <w:t>Shareholder Director Nominations</w:t>
            </w:r>
          </w:p>
        </w:tc>
        <w:tc>
          <w:tcPr>
            <w:tcW w:w="0" w:type="auto"/>
          </w:tcPr>
          <w:p w:rsidR="00346766" w:rsidRPr="00DB426D" w:rsidRDefault="00346766" w:rsidP="00346766">
            <w:pPr>
              <w:cnfStyle w:val="000000100000"/>
              <w:rPr>
                <w:sz w:val="20"/>
                <w:szCs w:val="20"/>
              </w:rPr>
            </w:pPr>
          </w:p>
        </w:tc>
      </w:tr>
      <w:tr w:rsidR="00346766" w:rsidRPr="00DB426D" w:rsidTr="00346766">
        <w:tc>
          <w:tcPr>
            <w:cnfStyle w:val="001000000000"/>
            <w:tcW w:w="0" w:type="auto"/>
          </w:tcPr>
          <w:p w:rsidR="00346766" w:rsidRPr="00DB426D" w:rsidRDefault="00346766" w:rsidP="00346766">
            <w:pPr>
              <w:rPr>
                <w:sz w:val="20"/>
                <w:szCs w:val="20"/>
              </w:rPr>
            </w:pPr>
            <w:r w:rsidRPr="00DB426D">
              <w:rPr>
                <w:sz w:val="20"/>
                <w:szCs w:val="20"/>
              </w:rPr>
              <w:t>6.01-6.05</w:t>
            </w:r>
          </w:p>
        </w:tc>
        <w:tc>
          <w:tcPr>
            <w:tcW w:w="6482" w:type="dxa"/>
            <w:hideMark/>
          </w:tcPr>
          <w:p w:rsidR="00346766" w:rsidRPr="00DB426D" w:rsidRDefault="00346766" w:rsidP="00346766">
            <w:pPr>
              <w:cnfStyle w:val="000000000000"/>
              <w:rPr>
                <w:b/>
                <w:bCs/>
                <w:sz w:val="20"/>
                <w:szCs w:val="20"/>
              </w:rPr>
            </w:pPr>
            <w:r w:rsidRPr="00DB426D">
              <w:rPr>
                <w:sz w:val="20"/>
                <w:szCs w:val="20"/>
              </w:rPr>
              <w:t xml:space="preserve">Asset-Backed Securities </w:t>
            </w:r>
          </w:p>
        </w:tc>
        <w:tc>
          <w:tcPr>
            <w:tcW w:w="0" w:type="auto"/>
          </w:tcPr>
          <w:p w:rsidR="00346766" w:rsidRPr="00DB426D" w:rsidRDefault="00346766" w:rsidP="00346766">
            <w:pPr>
              <w:cnfStyle w:val="000000000000"/>
              <w:rPr>
                <w:sz w:val="20"/>
                <w:szCs w:val="20"/>
              </w:rPr>
            </w:pPr>
          </w:p>
        </w:tc>
      </w:tr>
      <w:tr w:rsidR="00346766" w:rsidRPr="00DB426D" w:rsidTr="00346766">
        <w:trPr>
          <w:cnfStyle w:val="000000100000"/>
        </w:trPr>
        <w:tc>
          <w:tcPr>
            <w:cnfStyle w:val="001000000000"/>
            <w:tcW w:w="0" w:type="auto"/>
          </w:tcPr>
          <w:p w:rsidR="00346766" w:rsidRPr="00DB426D" w:rsidRDefault="00346766" w:rsidP="00346766">
            <w:pPr>
              <w:rPr>
                <w:sz w:val="20"/>
                <w:szCs w:val="20"/>
              </w:rPr>
            </w:pPr>
            <w:r w:rsidRPr="00DB426D">
              <w:rPr>
                <w:sz w:val="20"/>
                <w:szCs w:val="20"/>
              </w:rPr>
              <w:t>7.01</w:t>
            </w:r>
          </w:p>
        </w:tc>
        <w:tc>
          <w:tcPr>
            <w:tcW w:w="6482" w:type="dxa"/>
            <w:hideMark/>
          </w:tcPr>
          <w:p w:rsidR="00346766" w:rsidRPr="00DB426D" w:rsidRDefault="00346766" w:rsidP="00346766">
            <w:pPr>
              <w:cnfStyle w:val="000000100000"/>
              <w:rPr>
                <w:b/>
                <w:bCs/>
                <w:sz w:val="20"/>
                <w:szCs w:val="20"/>
              </w:rPr>
            </w:pPr>
            <w:r w:rsidRPr="00DB426D">
              <w:rPr>
                <w:sz w:val="20"/>
                <w:szCs w:val="20"/>
              </w:rPr>
              <w:t>Regulation FD Disclosure</w:t>
            </w:r>
          </w:p>
        </w:tc>
        <w:tc>
          <w:tcPr>
            <w:tcW w:w="0" w:type="auto"/>
          </w:tcPr>
          <w:p w:rsidR="00346766" w:rsidRPr="00DB426D" w:rsidRDefault="00346766" w:rsidP="00346766">
            <w:pPr>
              <w:cnfStyle w:val="000000100000"/>
              <w:rPr>
                <w:sz w:val="20"/>
                <w:szCs w:val="20"/>
              </w:rPr>
            </w:pPr>
          </w:p>
        </w:tc>
      </w:tr>
      <w:tr w:rsidR="00346766" w:rsidRPr="00DB426D" w:rsidTr="00346766">
        <w:tc>
          <w:tcPr>
            <w:cnfStyle w:val="001000000000"/>
            <w:tcW w:w="0" w:type="auto"/>
          </w:tcPr>
          <w:p w:rsidR="00346766" w:rsidRPr="00DB426D" w:rsidRDefault="00346766" w:rsidP="00346766">
            <w:pPr>
              <w:rPr>
                <w:sz w:val="20"/>
                <w:szCs w:val="20"/>
              </w:rPr>
            </w:pPr>
            <w:r w:rsidRPr="00DB426D">
              <w:rPr>
                <w:sz w:val="20"/>
                <w:szCs w:val="20"/>
              </w:rPr>
              <w:t>8.01</w:t>
            </w:r>
          </w:p>
        </w:tc>
        <w:tc>
          <w:tcPr>
            <w:tcW w:w="6482" w:type="dxa"/>
            <w:hideMark/>
          </w:tcPr>
          <w:p w:rsidR="00346766" w:rsidRPr="00DB426D" w:rsidRDefault="00346766" w:rsidP="00346766">
            <w:pPr>
              <w:cnfStyle w:val="000000000000"/>
              <w:rPr>
                <w:b/>
                <w:bCs/>
                <w:sz w:val="20"/>
                <w:szCs w:val="20"/>
              </w:rPr>
            </w:pPr>
            <w:r w:rsidRPr="00DB426D">
              <w:rPr>
                <w:sz w:val="20"/>
                <w:szCs w:val="20"/>
              </w:rPr>
              <w:t>Other Events</w:t>
            </w:r>
          </w:p>
        </w:tc>
        <w:tc>
          <w:tcPr>
            <w:tcW w:w="0" w:type="auto"/>
          </w:tcPr>
          <w:p w:rsidR="00346766" w:rsidRPr="00DB426D" w:rsidRDefault="00346766" w:rsidP="00346766">
            <w:pPr>
              <w:cnfStyle w:val="000000000000"/>
              <w:rPr>
                <w:sz w:val="20"/>
                <w:szCs w:val="20"/>
              </w:rPr>
            </w:pPr>
          </w:p>
        </w:tc>
      </w:tr>
      <w:tr w:rsidR="00346766" w:rsidRPr="00DB426D" w:rsidTr="00346766">
        <w:trPr>
          <w:cnfStyle w:val="000000100000"/>
        </w:trPr>
        <w:tc>
          <w:tcPr>
            <w:cnfStyle w:val="001000000000"/>
            <w:tcW w:w="0" w:type="auto"/>
          </w:tcPr>
          <w:p w:rsidR="00346766" w:rsidRPr="00DB426D" w:rsidRDefault="00346766" w:rsidP="00346766">
            <w:pPr>
              <w:rPr>
                <w:sz w:val="20"/>
                <w:szCs w:val="20"/>
              </w:rPr>
            </w:pPr>
            <w:r w:rsidRPr="00DB426D">
              <w:rPr>
                <w:sz w:val="20"/>
                <w:szCs w:val="20"/>
              </w:rPr>
              <w:t>9.01</w:t>
            </w:r>
          </w:p>
        </w:tc>
        <w:tc>
          <w:tcPr>
            <w:tcW w:w="6482" w:type="dxa"/>
            <w:hideMark/>
          </w:tcPr>
          <w:p w:rsidR="00346766" w:rsidRPr="00DB426D" w:rsidRDefault="00346766" w:rsidP="00346766">
            <w:pPr>
              <w:cnfStyle w:val="000000100000"/>
              <w:rPr>
                <w:b/>
                <w:bCs/>
                <w:sz w:val="20"/>
                <w:szCs w:val="20"/>
              </w:rPr>
            </w:pPr>
            <w:r w:rsidRPr="00DB426D">
              <w:rPr>
                <w:sz w:val="20"/>
                <w:szCs w:val="20"/>
              </w:rPr>
              <w:t>Financial Statements and Exhibits</w:t>
            </w:r>
          </w:p>
        </w:tc>
        <w:tc>
          <w:tcPr>
            <w:tcW w:w="0" w:type="auto"/>
          </w:tcPr>
          <w:p w:rsidR="00346766" w:rsidRPr="00DB426D" w:rsidRDefault="00346766" w:rsidP="00346766">
            <w:pPr>
              <w:cnfStyle w:val="000000100000"/>
              <w:rPr>
                <w:sz w:val="20"/>
                <w:szCs w:val="20"/>
              </w:rPr>
            </w:pPr>
          </w:p>
        </w:tc>
      </w:tr>
    </w:tbl>
    <w:p w:rsidR="00346766" w:rsidRDefault="00346766">
      <w:pPr>
        <w:rPr>
          <w:b/>
          <w:u w:val="single"/>
        </w:rPr>
      </w:pPr>
    </w:p>
    <w:p w:rsidR="00346766" w:rsidRDefault="00346766">
      <w:pPr>
        <w:rPr>
          <w:b/>
          <w:u w:val="single"/>
        </w:rPr>
      </w:pPr>
      <w:r>
        <w:rPr>
          <w:b/>
          <w:u w:val="single"/>
        </w:rPr>
        <w:br w:type="page"/>
      </w:r>
    </w:p>
    <w:p w:rsidR="006D7812" w:rsidRPr="006D7812" w:rsidRDefault="006D7812">
      <w:pPr>
        <w:rPr>
          <w:b/>
          <w:u w:val="single"/>
        </w:rPr>
      </w:pPr>
      <w:r w:rsidRPr="006D7812">
        <w:rPr>
          <w:b/>
          <w:u w:val="single"/>
        </w:rPr>
        <w:lastRenderedPageBreak/>
        <w:t>Table 1: Descriptive Statistics</w:t>
      </w:r>
    </w:p>
    <w:p w:rsidR="006D7812" w:rsidRDefault="006D7812"/>
    <w:tbl>
      <w:tblPr>
        <w:tblW w:w="8364" w:type="dxa"/>
        <w:tblInd w:w="108" w:type="dxa"/>
        <w:tblLayout w:type="fixed"/>
        <w:tblLook w:val="04A0"/>
      </w:tblPr>
      <w:tblGrid>
        <w:gridCol w:w="2977"/>
        <w:gridCol w:w="1134"/>
        <w:gridCol w:w="1418"/>
        <w:gridCol w:w="850"/>
        <w:gridCol w:w="1134"/>
        <w:gridCol w:w="851"/>
      </w:tblGrid>
      <w:tr w:rsidR="0053278F" w:rsidRPr="006D7812" w:rsidTr="0053278F">
        <w:trPr>
          <w:trHeight w:val="300"/>
        </w:trPr>
        <w:tc>
          <w:tcPr>
            <w:tcW w:w="2977" w:type="dxa"/>
            <w:tcBorders>
              <w:top w:val="nil"/>
              <w:left w:val="nil"/>
              <w:bottom w:val="single" w:sz="4" w:space="0" w:color="auto"/>
              <w:right w:val="nil"/>
            </w:tcBorders>
            <w:shd w:val="clear" w:color="auto" w:fill="auto"/>
            <w:noWrap/>
            <w:vAlign w:val="bottom"/>
            <w:hideMark/>
          </w:tcPr>
          <w:p w:rsidR="0053278F" w:rsidRPr="006D7812" w:rsidRDefault="0053278F" w:rsidP="006D7812">
            <w:pPr>
              <w:rPr>
                <w:rFonts w:eastAsia="Times New Roman"/>
                <w:color w:val="000000"/>
                <w:sz w:val="22"/>
                <w:szCs w:val="22"/>
              </w:rPr>
            </w:pPr>
          </w:p>
        </w:tc>
        <w:tc>
          <w:tcPr>
            <w:tcW w:w="1134" w:type="dxa"/>
            <w:tcBorders>
              <w:top w:val="nil"/>
              <w:left w:val="nil"/>
              <w:bottom w:val="single" w:sz="4" w:space="0" w:color="auto"/>
              <w:right w:val="nil"/>
            </w:tcBorders>
            <w:shd w:val="clear" w:color="auto" w:fill="auto"/>
            <w:noWrap/>
            <w:vAlign w:val="bottom"/>
            <w:hideMark/>
          </w:tcPr>
          <w:p w:rsidR="0053278F" w:rsidRPr="006D7812" w:rsidRDefault="0053278F" w:rsidP="006D7812">
            <w:pPr>
              <w:jc w:val="center"/>
              <w:rPr>
                <w:rFonts w:eastAsia="Times New Roman"/>
                <w:b/>
                <w:bCs/>
                <w:color w:val="000000"/>
                <w:sz w:val="22"/>
                <w:szCs w:val="22"/>
              </w:rPr>
            </w:pPr>
            <w:r w:rsidRPr="006D7812">
              <w:rPr>
                <w:rFonts w:eastAsia="Times New Roman"/>
                <w:b/>
                <w:bCs/>
                <w:color w:val="000000"/>
                <w:sz w:val="22"/>
                <w:szCs w:val="22"/>
              </w:rPr>
              <w:t>Mean</w:t>
            </w:r>
          </w:p>
        </w:tc>
        <w:tc>
          <w:tcPr>
            <w:tcW w:w="1418" w:type="dxa"/>
            <w:tcBorders>
              <w:top w:val="nil"/>
              <w:left w:val="nil"/>
              <w:bottom w:val="single" w:sz="4" w:space="0" w:color="auto"/>
              <w:right w:val="nil"/>
            </w:tcBorders>
            <w:shd w:val="clear" w:color="auto" w:fill="auto"/>
            <w:noWrap/>
            <w:vAlign w:val="bottom"/>
            <w:hideMark/>
          </w:tcPr>
          <w:p w:rsidR="0053278F" w:rsidRPr="006D7812" w:rsidRDefault="0053278F" w:rsidP="006D7812">
            <w:pPr>
              <w:jc w:val="center"/>
              <w:rPr>
                <w:rFonts w:eastAsia="Times New Roman"/>
                <w:b/>
                <w:bCs/>
                <w:color w:val="000000"/>
                <w:sz w:val="22"/>
                <w:szCs w:val="22"/>
              </w:rPr>
            </w:pPr>
            <w:r w:rsidRPr="006D7812">
              <w:rPr>
                <w:rFonts w:eastAsia="Times New Roman"/>
                <w:b/>
                <w:bCs/>
                <w:color w:val="000000"/>
                <w:sz w:val="22"/>
                <w:szCs w:val="22"/>
              </w:rPr>
              <w:t>Standard Deviation</w:t>
            </w:r>
          </w:p>
        </w:tc>
        <w:tc>
          <w:tcPr>
            <w:tcW w:w="850" w:type="dxa"/>
            <w:tcBorders>
              <w:top w:val="nil"/>
              <w:left w:val="nil"/>
              <w:bottom w:val="single" w:sz="4" w:space="0" w:color="auto"/>
              <w:right w:val="nil"/>
            </w:tcBorders>
            <w:shd w:val="clear" w:color="auto" w:fill="auto"/>
            <w:noWrap/>
            <w:vAlign w:val="bottom"/>
            <w:hideMark/>
          </w:tcPr>
          <w:p w:rsidR="0053278F" w:rsidRPr="006D7812" w:rsidRDefault="0053278F" w:rsidP="006D7812">
            <w:pPr>
              <w:jc w:val="center"/>
              <w:rPr>
                <w:rFonts w:eastAsia="Times New Roman"/>
                <w:b/>
                <w:bCs/>
                <w:color w:val="000000"/>
                <w:sz w:val="22"/>
                <w:szCs w:val="22"/>
              </w:rPr>
            </w:pPr>
            <w:r w:rsidRPr="006D7812">
              <w:rPr>
                <w:rFonts w:eastAsia="Times New Roman"/>
                <w:b/>
                <w:bCs/>
                <w:color w:val="000000"/>
                <w:sz w:val="22"/>
                <w:szCs w:val="22"/>
              </w:rPr>
              <w:t>Q1</w:t>
            </w:r>
          </w:p>
        </w:tc>
        <w:tc>
          <w:tcPr>
            <w:tcW w:w="1134" w:type="dxa"/>
            <w:tcBorders>
              <w:top w:val="nil"/>
              <w:left w:val="nil"/>
              <w:bottom w:val="single" w:sz="4" w:space="0" w:color="auto"/>
              <w:right w:val="nil"/>
            </w:tcBorders>
            <w:shd w:val="clear" w:color="auto" w:fill="auto"/>
            <w:noWrap/>
            <w:vAlign w:val="bottom"/>
            <w:hideMark/>
          </w:tcPr>
          <w:p w:rsidR="0053278F" w:rsidRPr="006D7812" w:rsidRDefault="0053278F" w:rsidP="006D7812">
            <w:pPr>
              <w:jc w:val="center"/>
              <w:rPr>
                <w:rFonts w:eastAsia="Times New Roman"/>
                <w:b/>
                <w:bCs/>
                <w:color w:val="000000"/>
                <w:sz w:val="22"/>
                <w:szCs w:val="22"/>
              </w:rPr>
            </w:pPr>
            <w:r w:rsidRPr="006D7812">
              <w:rPr>
                <w:rFonts w:eastAsia="Times New Roman"/>
                <w:b/>
                <w:bCs/>
                <w:color w:val="000000"/>
                <w:sz w:val="22"/>
                <w:szCs w:val="22"/>
              </w:rPr>
              <w:t xml:space="preserve">Median </w:t>
            </w:r>
          </w:p>
        </w:tc>
        <w:tc>
          <w:tcPr>
            <w:tcW w:w="851" w:type="dxa"/>
            <w:tcBorders>
              <w:top w:val="nil"/>
              <w:left w:val="nil"/>
              <w:bottom w:val="single" w:sz="4" w:space="0" w:color="auto"/>
              <w:right w:val="nil"/>
            </w:tcBorders>
            <w:shd w:val="clear" w:color="auto" w:fill="auto"/>
            <w:noWrap/>
            <w:vAlign w:val="bottom"/>
            <w:hideMark/>
          </w:tcPr>
          <w:p w:rsidR="0053278F" w:rsidRPr="006D7812" w:rsidRDefault="0053278F" w:rsidP="006D7812">
            <w:pPr>
              <w:jc w:val="center"/>
              <w:rPr>
                <w:rFonts w:eastAsia="Times New Roman"/>
                <w:b/>
                <w:bCs/>
                <w:color w:val="000000"/>
                <w:sz w:val="22"/>
                <w:szCs w:val="22"/>
              </w:rPr>
            </w:pPr>
            <w:r w:rsidRPr="006D7812">
              <w:rPr>
                <w:rFonts w:eastAsia="Times New Roman"/>
                <w:b/>
                <w:bCs/>
                <w:color w:val="000000"/>
                <w:sz w:val="22"/>
                <w:szCs w:val="22"/>
              </w:rPr>
              <w:t>Q3</w:t>
            </w:r>
          </w:p>
        </w:tc>
      </w:tr>
      <w:tr w:rsidR="0053278F" w:rsidRPr="006D7812" w:rsidTr="0053278F">
        <w:trPr>
          <w:trHeight w:val="300"/>
        </w:trPr>
        <w:tc>
          <w:tcPr>
            <w:tcW w:w="2977" w:type="dxa"/>
            <w:tcBorders>
              <w:top w:val="single" w:sz="4" w:space="0" w:color="auto"/>
              <w:left w:val="nil"/>
              <w:bottom w:val="nil"/>
              <w:right w:val="nil"/>
            </w:tcBorders>
            <w:shd w:val="clear" w:color="auto" w:fill="auto"/>
            <w:noWrap/>
            <w:vAlign w:val="bottom"/>
            <w:hideMark/>
          </w:tcPr>
          <w:p w:rsidR="0053278F" w:rsidRPr="006D7812" w:rsidRDefault="0053278F" w:rsidP="006D7812">
            <w:pPr>
              <w:rPr>
                <w:rFonts w:eastAsia="Times New Roman"/>
                <w:color w:val="000000"/>
                <w:sz w:val="22"/>
                <w:szCs w:val="22"/>
              </w:rPr>
            </w:pPr>
            <w:r w:rsidRPr="006D7812">
              <w:rPr>
                <w:rFonts w:eastAsia="Times New Roman"/>
                <w:color w:val="000000"/>
                <w:sz w:val="22"/>
                <w:szCs w:val="22"/>
              </w:rPr>
              <w:t>Market Value of Equity</w:t>
            </w:r>
          </w:p>
        </w:tc>
        <w:tc>
          <w:tcPr>
            <w:tcW w:w="1134" w:type="dxa"/>
            <w:tcBorders>
              <w:top w:val="single" w:sz="4" w:space="0" w:color="auto"/>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4,439</w:t>
            </w:r>
          </w:p>
        </w:tc>
        <w:tc>
          <w:tcPr>
            <w:tcW w:w="1418" w:type="dxa"/>
            <w:tcBorders>
              <w:top w:val="single" w:sz="4" w:space="0" w:color="auto"/>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17,573</w:t>
            </w:r>
          </w:p>
        </w:tc>
        <w:tc>
          <w:tcPr>
            <w:tcW w:w="850" w:type="dxa"/>
            <w:tcBorders>
              <w:top w:val="single" w:sz="4" w:space="0" w:color="auto"/>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240</w:t>
            </w:r>
          </w:p>
        </w:tc>
        <w:tc>
          <w:tcPr>
            <w:tcW w:w="1134" w:type="dxa"/>
            <w:tcBorders>
              <w:top w:val="single" w:sz="4" w:space="0" w:color="auto"/>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691</w:t>
            </w:r>
          </w:p>
        </w:tc>
        <w:tc>
          <w:tcPr>
            <w:tcW w:w="851" w:type="dxa"/>
            <w:tcBorders>
              <w:top w:val="single" w:sz="4" w:space="0" w:color="auto"/>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2,283</w:t>
            </w:r>
          </w:p>
        </w:tc>
      </w:tr>
      <w:tr w:rsidR="0053278F" w:rsidRPr="006D7812" w:rsidTr="0053278F">
        <w:trPr>
          <w:trHeight w:val="300"/>
        </w:trPr>
        <w:tc>
          <w:tcPr>
            <w:tcW w:w="2977" w:type="dxa"/>
            <w:tcBorders>
              <w:top w:val="nil"/>
              <w:left w:val="nil"/>
              <w:bottom w:val="nil"/>
              <w:right w:val="nil"/>
            </w:tcBorders>
            <w:shd w:val="clear" w:color="auto" w:fill="auto"/>
            <w:noWrap/>
            <w:vAlign w:val="bottom"/>
            <w:hideMark/>
          </w:tcPr>
          <w:p w:rsidR="0053278F" w:rsidRPr="006D7812" w:rsidRDefault="0053278F" w:rsidP="006D7812">
            <w:pPr>
              <w:rPr>
                <w:rFonts w:eastAsia="Times New Roman"/>
                <w:color w:val="000000"/>
                <w:sz w:val="22"/>
                <w:szCs w:val="22"/>
              </w:rPr>
            </w:pPr>
            <w:r w:rsidRPr="006D7812">
              <w:rPr>
                <w:rFonts w:eastAsia="Times New Roman"/>
                <w:color w:val="000000"/>
                <w:sz w:val="22"/>
                <w:szCs w:val="22"/>
              </w:rPr>
              <w:t>Return on Assets</w:t>
            </w:r>
          </w:p>
        </w:tc>
        <w:tc>
          <w:tcPr>
            <w:tcW w:w="1134"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-0.003</w:t>
            </w:r>
          </w:p>
        </w:tc>
        <w:tc>
          <w:tcPr>
            <w:tcW w:w="1418"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0.185</w:t>
            </w:r>
          </w:p>
        </w:tc>
        <w:tc>
          <w:tcPr>
            <w:tcW w:w="850"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-0.01</w:t>
            </w:r>
          </w:p>
        </w:tc>
        <w:tc>
          <w:tcPr>
            <w:tcW w:w="1134"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0.041</w:t>
            </w:r>
          </w:p>
        </w:tc>
        <w:tc>
          <w:tcPr>
            <w:tcW w:w="851"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0.083</w:t>
            </w:r>
          </w:p>
        </w:tc>
      </w:tr>
      <w:tr w:rsidR="0053278F" w:rsidRPr="006D7812" w:rsidTr="0053278F">
        <w:trPr>
          <w:trHeight w:val="300"/>
        </w:trPr>
        <w:tc>
          <w:tcPr>
            <w:tcW w:w="2977" w:type="dxa"/>
            <w:tcBorders>
              <w:top w:val="nil"/>
              <w:left w:val="nil"/>
              <w:bottom w:val="nil"/>
              <w:right w:val="nil"/>
            </w:tcBorders>
            <w:shd w:val="clear" w:color="auto" w:fill="auto"/>
            <w:noWrap/>
            <w:vAlign w:val="bottom"/>
            <w:hideMark/>
          </w:tcPr>
          <w:p w:rsidR="0053278F" w:rsidRPr="006D7812" w:rsidRDefault="0053278F" w:rsidP="006D7812">
            <w:pPr>
              <w:rPr>
                <w:rFonts w:eastAsia="Times New Roman"/>
                <w:color w:val="000000"/>
                <w:sz w:val="22"/>
                <w:szCs w:val="22"/>
              </w:rPr>
            </w:pPr>
            <w:r w:rsidRPr="006D7812">
              <w:rPr>
                <w:rFonts w:eastAsia="Times New Roman"/>
                <w:color w:val="000000"/>
                <w:sz w:val="22"/>
                <w:szCs w:val="22"/>
              </w:rPr>
              <w:t>Equity Return Volatility</w:t>
            </w:r>
          </w:p>
        </w:tc>
        <w:tc>
          <w:tcPr>
            <w:tcW w:w="1134"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0.032</w:t>
            </w:r>
          </w:p>
        </w:tc>
        <w:tc>
          <w:tcPr>
            <w:tcW w:w="1418"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0.015</w:t>
            </w:r>
          </w:p>
        </w:tc>
        <w:tc>
          <w:tcPr>
            <w:tcW w:w="850"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0.021</w:t>
            </w:r>
          </w:p>
        </w:tc>
        <w:tc>
          <w:tcPr>
            <w:tcW w:w="1134"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0.028</w:t>
            </w:r>
          </w:p>
        </w:tc>
        <w:tc>
          <w:tcPr>
            <w:tcW w:w="851"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0.039</w:t>
            </w:r>
          </w:p>
        </w:tc>
      </w:tr>
      <w:tr w:rsidR="0053278F" w:rsidRPr="006D7812" w:rsidTr="0053278F">
        <w:trPr>
          <w:trHeight w:val="300"/>
        </w:trPr>
        <w:tc>
          <w:tcPr>
            <w:tcW w:w="2977" w:type="dxa"/>
            <w:tcBorders>
              <w:top w:val="nil"/>
              <w:left w:val="nil"/>
              <w:bottom w:val="nil"/>
              <w:right w:val="nil"/>
            </w:tcBorders>
            <w:shd w:val="clear" w:color="auto" w:fill="auto"/>
            <w:noWrap/>
            <w:vAlign w:val="bottom"/>
            <w:hideMark/>
          </w:tcPr>
          <w:p w:rsidR="0053278F" w:rsidRPr="006D7812" w:rsidRDefault="0053278F" w:rsidP="006D7812">
            <w:pPr>
              <w:rPr>
                <w:rFonts w:eastAsia="Times New Roman"/>
                <w:color w:val="000000"/>
                <w:sz w:val="22"/>
                <w:szCs w:val="22"/>
              </w:rPr>
            </w:pPr>
            <w:r w:rsidRPr="006D7812">
              <w:rPr>
                <w:rFonts w:eastAsia="Times New Roman"/>
                <w:color w:val="000000"/>
                <w:sz w:val="22"/>
                <w:szCs w:val="22"/>
              </w:rPr>
              <w:t>Book-to-Market Ratio</w:t>
            </w:r>
          </w:p>
        </w:tc>
        <w:tc>
          <w:tcPr>
            <w:tcW w:w="1134"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0.527</w:t>
            </w:r>
          </w:p>
        </w:tc>
        <w:tc>
          <w:tcPr>
            <w:tcW w:w="1418"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0.48</w:t>
            </w:r>
          </w:p>
        </w:tc>
        <w:tc>
          <w:tcPr>
            <w:tcW w:w="850"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0.243</w:t>
            </w:r>
          </w:p>
        </w:tc>
        <w:tc>
          <w:tcPr>
            <w:tcW w:w="1134"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0.417</w:t>
            </w:r>
          </w:p>
        </w:tc>
        <w:tc>
          <w:tcPr>
            <w:tcW w:w="851"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0.669</w:t>
            </w:r>
          </w:p>
        </w:tc>
      </w:tr>
      <w:tr w:rsidR="0053278F" w:rsidRPr="006D7812" w:rsidTr="0053278F">
        <w:trPr>
          <w:trHeight w:val="300"/>
        </w:trPr>
        <w:tc>
          <w:tcPr>
            <w:tcW w:w="2977" w:type="dxa"/>
            <w:tcBorders>
              <w:top w:val="nil"/>
              <w:left w:val="nil"/>
              <w:bottom w:val="nil"/>
              <w:right w:val="nil"/>
            </w:tcBorders>
            <w:shd w:val="clear" w:color="auto" w:fill="auto"/>
            <w:noWrap/>
            <w:vAlign w:val="bottom"/>
            <w:hideMark/>
          </w:tcPr>
          <w:p w:rsidR="0053278F" w:rsidRPr="006D7812" w:rsidRDefault="0053278F" w:rsidP="006D7812">
            <w:pPr>
              <w:rPr>
                <w:rFonts w:eastAsia="Times New Roman"/>
                <w:color w:val="000000"/>
                <w:sz w:val="22"/>
                <w:szCs w:val="22"/>
              </w:rPr>
            </w:pPr>
            <w:r w:rsidRPr="006D7812">
              <w:rPr>
                <w:rFonts w:eastAsia="Times New Roman"/>
                <w:color w:val="000000"/>
                <w:sz w:val="22"/>
                <w:szCs w:val="22"/>
              </w:rPr>
              <w:t>Leverage</w:t>
            </w:r>
          </w:p>
        </w:tc>
        <w:tc>
          <w:tcPr>
            <w:tcW w:w="1134"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0.2</w:t>
            </w:r>
          </w:p>
        </w:tc>
        <w:tc>
          <w:tcPr>
            <w:tcW w:w="1418"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0.204</w:t>
            </w:r>
          </w:p>
        </w:tc>
        <w:tc>
          <w:tcPr>
            <w:tcW w:w="850"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0.006</w:t>
            </w:r>
          </w:p>
        </w:tc>
        <w:tc>
          <w:tcPr>
            <w:tcW w:w="1134"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0.159</w:t>
            </w:r>
          </w:p>
        </w:tc>
        <w:tc>
          <w:tcPr>
            <w:tcW w:w="851"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0.318</w:t>
            </w:r>
          </w:p>
        </w:tc>
      </w:tr>
      <w:tr w:rsidR="0053278F" w:rsidRPr="006D7812" w:rsidTr="0053278F">
        <w:trPr>
          <w:trHeight w:val="300"/>
        </w:trPr>
        <w:tc>
          <w:tcPr>
            <w:tcW w:w="2977" w:type="dxa"/>
            <w:tcBorders>
              <w:top w:val="nil"/>
              <w:left w:val="nil"/>
              <w:bottom w:val="nil"/>
              <w:right w:val="nil"/>
            </w:tcBorders>
            <w:shd w:val="clear" w:color="auto" w:fill="auto"/>
            <w:noWrap/>
            <w:vAlign w:val="bottom"/>
            <w:hideMark/>
          </w:tcPr>
          <w:p w:rsidR="0053278F" w:rsidRPr="006D7812" w:rsidRDefault="0053278F" w:rsidP="006D7812">
            <w:pPr>
              <w:rPr>
                <w:rFonts w:eastAsia="Times New Roman"/>
                <w:color w:val="000000"/>
                <w:sz w:val="22"/>
                <w:szCs w:val="22"/>
              </w:rPr>
            </w:pPr>
            <w:r w:rsidRPr="006D7812">
              <w:rPr>
                <w:rFonts w:eastAsia="Times New Roman"/>
                <w:color w:val="000000"/>
                <w:sz w:val="22"/>
                <w:szCs w:val="22"/>
              </w:rPr>
              <w:t>Institutional Ownership</w:t>
            </w:r>
          </w:p>
        </w:tc>
        <w:tc>
          <w:tcPr>
            <w:tcW w:w="1134"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0.218</w:t>
            </w:r>
          </w:p>
        </w:tc>
        <w:tc>
          <w:tcPr>
            <w:tcW w:w="1418"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0.154</w:t>
            </w:r>
          </w:p>
        </w:tc>
        <w:tc>
          <w:tcPr>
            <w:tcW w:w="850"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0.092</w:t>
            </w:r>
          </w:p>
        </w:tc>
        <w:tc>
          <w:tcPr>
            <w:tcW w:w="1134"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0.197</w:t>
            </w:r>
          </w:p>
        </w:tc>
        <w:tc>
          <w:tcPr>
            <w:tcW w:w="851" w:type="dxa"/>
            <w:tcBorders>
              <w:top w:val="nil"/>
              <w:left w:val="nil"/>
              <w:bottom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0.313</w:t>
            </w:r>
          </w:p>
        </w:tc>
      </w:tr>
      <w:tr w:rsidR="0053278F" w:rsidRPr="006D7812" w:rsidTr="0053278F">
        <w:trPr>
          <w:trHeight w:val="300"/>
        </w:trPr>
        <w:tc>
          <w:tcPr>
            <w:tcW w:w="2977" w:type="dxa"/>
            <w:tcBorders>
              <w:top w:val="nil"/>
              <w:left w:val="nil"/>
              <w:right w:val="nil"/>
            </w:tcBorders>
            <w:shd w:val="clear" w:color="auto" w:fill="auto"/>
            <w:noWrap/>
            <w:vAlign w:val="bottom"/>
            <w:hideMark/>
          </w:tcPr>
          <w:p w:rsidR="0053278F" w:rsidRPr="006D7812" w:rsidRDefault="0053278F" w:rsidP="006D7812">
            <w:pPr>
              <w:rPr>
                <w:rFonts w:eastAsia="Times New Roman"/>
                <w:color w:val="000000"/>
                <w:sz w:val="22"/>
                <w:szCs w:val="22"/>
              </w:rPr>
            </w:pPr>
            <w:r>
              <w:rPr>
                <w:rFonts w:eastAsia="Times New Roman"/>
                <w:color w:val="000000"/>
                <w:sz w:val="22"/>
                <w:szCs w:val="22"/>
              </w:rPr>
              <w:t>Number of Analyst</w:t>
            </w:r>
            <w:r w:rsidRPr="006D7812">
              <w:rPr>
                <w:rFonts w:eastAsia="Times New Roman"/>
                <w:color w:val="000000"/>
                <w:sz w:val="22"/>
                <w:szCs w:val="22"/>
              </w:rPr>
              <w:t xml:space="preserve"> Forecast</w:t>
            </w:r>
            <w:r>
              <w:rPr>
                <w:rFonts w:eastAsia="Times New Roman"/>
                <w:color w:val="000000"/>
                <w:sz w:val="22"/>
                <w:szCs w:val="22"/>
              </w:rPr>
              <w:t>s</w:t>
            </w:r>
            <w:r w:rsidRPr="006D7812">
              <w:rPr>
                <w:rFonts w:eastAsia="Times New Roman"/>
                <w:color w:val="000000"/>
                <w:sz w:val="22"/>
                <w:szCs w:val="22"/>
              </w:rPr>
              <w:t xml:space="preserve"> </w:t>
            </w:r>
          </w:p>
        </w:tc>
        <w:tc>
          <w:tcPr>
            <w:tcW w:w="1134" w:type="dxa"/>
            <w:tcBorders>
              <w:top w:val="nil"/>
              <w:left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2.783</w:t>
            </w:r>
          </w:p>
        </w:tc>
        <w:tc>
          <w:tcPr>
            <w:tcW w:w="1418" w:type="dxa"/>
            <w:tcBorders>
              <w:top w:val="nil"/>
              <w:left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1.006</w:t>
            </w:r>
          </w:p>
        </w:tc>
        <w:tc>
          <w:tcPr>
            <w:tcW w:w="850" w:type="dxa"/>
            <w:tcBorders>
              <w:top w:val="nil"/>
              <w:left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2</w:t>
            </w:r>
          </w:p>
        </w:tc>
        <w:tc>
          <w:tcPr>
            <w:tcW w:w="1134" w:type="dxa"/>
            <w:tcBorders>
              <w:top w:val="nil"/>
              <w:left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2.667</w:t>
            </w:r>
          </w:p>
        </w:tc>
        <w:tc>
          <w:tcPr>
            <w:tcW w:w="851" w:type="dxa"/>
            <w:tcBorders>
              <w:top w:val="nil"/>
              <w:left w:val="nil"/>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3.5</w:t>
            </w:r>
          </w:p>
        </w:tc>
      </w:tr>
      <w:tr w:rsidR="0053278F" w:rsidRPr="006D7812" w:rsidTr="0053278F">
        <w:trPr>
          <w:trHeight w:val="300"/>
        </w:trPr>
        <w:tc>
          <w:tcPr>
            <w:tcW w:w="2977" w:type="dxa"/>
            <w:tcBorders>
              <w:top w:val="nil"/>
              <w:left w:val="nil"/>
              <w:bottom w:val="single" w:sz="4" w:space="0" w:color="auto"/>
              <w:right w:val="nil"/>
            </w:tcBorders>
            <w:shd w:val="clear" w:color="auto" w:fill="auto"/>
            <w:noWrap/>
            <w:vAlign w:val="bottom"/>
            <w:hideMark/>
          </w:tcPr>
          <w:p w:rsidR="0053278F" w:rsidRPr="006D7812" w:rsidRDefault="0053278F" w:rsidP="006D7812">
            <w:pPr>
              <w:rPr>
                <w:rFonts w:eastAsia="Times New Roman"/>
                <w:color w:val="000000"/>
                <w:sz w:val="22"/>
                <w:szCs w:val="22"/>
              </w:rPr>
            </w:pPr>
            <w:r w:rsidRPr="006D7812">
              <w:rPr>
                <w:rFonts w:eastAsia="Times New Roman"/>
                <w:color w:val="000000"/>
                <w:sz w:val="22"/>
                <w:szCs w:val="22"/>
              </w:rPr>
              <w:t>Number of Analysts Following</w:t>
            </w:r>
          </w:p>
        </w:tc>
        <w:tc>
          <w:tcPr>
            <w:tcW w:w="1134" w:type="dxa"/>
            <w:tcBorders>
              <w:top w:val="nil"/>
              <w:left w:val="nil"/>
              <w:bottom w:val="single" w:sz="4" w:space="0" w:color="auto"/>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9.773</w:t>
            </w:r>
          </w:p>
        </w:tc>
        <w:tc>
          <w:tcPr>
            <w:tcW w:w="1418" w:type="dxa"/>
            <w:tcBorders>
              <w:top w:val="nil"/>
              <w:left w:val="nil"/>
              <w:bottom w:val="single" w:sz="4" w:space="0" w:color="auto"/>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7.777</w:t>
            </w:r>
          </w:p>
        </w:tc>
        <w:tc>
          <w:tcPr>
            <w:tcW w:w="850" w:type="dxa"/>
            <w:tcBorders>
              <w:top w:val="nil"/>
              <w:left w:val="nil"/>
              <w:bottom w:val="single" w:sz="4" w:space="0" w:color="auto"/>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4</w:t>
            </w:r>
          </w:p>
        </w:tc>
        <w:tc>
          <w:tcPr>
            <w:tcW w:w="1134" w:type="dxa"/>
            <w:tcBorders>
              <w:top w:val="nil"/>
              <w:left w:val="nil"/>
              <w:bottom w:val="single" w:sz="4" w:space="0" w:color="auto"/>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8</w:t>
            </w:r>
          </w:p>
        </w:tc>
        <w:tc>
          <w:tcPr>
            <w:tcW w:w="851" w:type="dxa"/>
            <w:tcBorders>
              <w:top w:val="nil"/>
              <w:left w:val="nil"/>
              <w:bottom w:val="single" w:sz="4" w:space="0" w:color="auto"/>
              <w:right w:val="nil"/>
            </w:tcBorders>
            <w:shd w:val="clear" w:color="auto" w:fill="auto"/>
            <w:noWrap/>
            <w:vAlign w:val="bottom"/>
            <w:hideMark/>
          </w:tcPr>
          <w:p w:rsidR="0053278F" w:rsidRPr="006D7812" w:rsidRDefault="0053278F" w:rsidP="006D7812">
            <w:pPr>
              <w:jc w:val="center"/>
              <w:rPr>
                <w:rFonts w:eastAsia="Times New Roman"/>
                <w:color w:val="000000"/>
                <w:sz w:val="22"/>
                <w:szCs w:val="22"/>
              </w:rPr>
            </w:pPr>
            <w:r w:rsidRPr="006D7812">
              <w:rPr>
                <w:rFonts w:eastAsia="Times New Roman"/>
                <w:color w:val="000000"/>
                <w:sz w:val="22"/>
                <w:szCs w:val="22"/>
              </w:rPr>
              <w:t>13</w:t>
            </w:r>
          </w:p>
        </w:tc>
      </w:tr>
    </w:tbl>
    <w:p w:rsidR="006D7812" w:rsidRDefault="006D7812" w:rsidP="00B962F0">
      <w:pPr>
        <w:jc w:val="both"/>
        <w:rPr>
          <w:sz w:val="22"/>
          <w:szCs w:val="22"/>
        </w:rPr>
      </w:pPr>
      <w:r w:rsidRPr="006D7812">
        <w:rPr>
          <w:sz w:val="22"/>
          <w:szCs w:val="22"/>
        </w:rPr>
        <w:t xml:space="preserve">Table 1 provides descriptive statistics of firm-year variables. </w:t>
      </w:r>
      <w:r w:rsidR="0053278F">
        <w:rPr>
          <w:sz w:val="22"/>
          <w:szCs w:val="22"/>
        </w:rPr>
        <w:t xml:space="preserve">The number of observations is 13,622. </w:t>
      </w:r>
      <w:r w:rsidRPr="006D7812">
        <w:rPr>
          <w:sz w:val="22"/>
          <w:szCs w:val="22"/>
        </w:rPr>
        <w:t>Market Value of Equity is computed at fiscal year end. Return on Assets is computed as Income Before Extraordinary (Mnemonic IB) scaled by total assets (AT); Equity Return Volatility is the standard deviation of daily stock return during the year; Book-to-Market is computed as book value of equity (CEQ) scaled by market value of equity; Leverage is the sum of short term and long term debt (DLC+DLTT) scaled by total assets; Institutional Ownership is the proportion of shares held by large block holders (ownership</w:t>
      </w:r>
      <w:r w:rsidR="00106CC9">
        <w:rPr>
          <w:sz w:val="22"/>
          <w:szCs w:val="22"/>
        </w:rPr>
        <w:t xml:space="preserve"> </w:t>
      </w:r>
      <w:r w:rsidRPr="006D7812">
        <w:rPr>
          <w:sz w:val="22"/>
          <w:szCs w:val="22"/>
        </w:rPr>
        <w:t>&gt;</w:t>
      </w:r>
      <w:r w:rsidR="00106CC9">
        <w:rPr>
          <w:sz w:val="22"/>
          <w:szCs w:val="22"/>
        </w:rPr>
        <w:t xml:space="preserve"> </w:t>
      </w:r>
      <w:r w:rsidRPr="006D7812">
        <w:rPr>
          <w:sz w:val="22"/>
          <w:szCs w:val="22"/>
        </w:rPr>
        <w:t xml:space="preserve">5%); Number of Analysts Forecast is the number of </w:t>
      </w:r>
      <w:r w:rsidR="00B962F0">
        <w:rPr>
          <w:sz w:val="22"/>
          <w:szCs w:val="22"/>
        </w:rPr>
        <w:t xml:space="preserve">next year's annual EPS </w:t>
      </w:r>
      <w:r w:rsidRPr="006D7812">
        <w:rPr>
          <w:sz w:val="22"/>
          <w:szCs w:val="22"/>
        </w:rPr>
        <w:t>forecasts</w:t>
      </w:r>
      <w:r w:rsidR="00B962F0">
        <w:rPr>
          <w:sz w:val="22"/>
          <w:szCs w:val="22"/>
        </w:rPr>
        <w:t xml:space="preserve"> (new or revised)</w:t>
      </w:r>
      <w:r w:rsidRPr="006D7812">
        <w:rPr>
          <w:sz w:val="22"/>
          <w:szCs w:val="22"/>
        </w:rPr>
        <w:t xml:space="preserve"> made by </w:t>
      </w:r>
      <w:r w:rsidR="00B962F0">
        <w:rPr>
          <w:sz w:val="22"/>
          <w:szCs w:val="22"/>
        </w:rPr>
        <w:t xml:space="preserve">an </w:t>
      </w:r>
      <w:r w:rsidRPr="006D7812">
        <w:rPr>
          <w:sz w:val="22"/>
          <w:szCs w:val="22"/>
        </w:rPr>
        <w:t xml:space="preserve">analyst in a </w:t>
      </w:r>
      <w:r w:rsidR="00B962F0">
        <w:rPr>
          <w:sz w:val="22"/>
          <w:szCs w:val="22"/>
        </w:rPr>
        <w:t xml:space="preserve">calendar </w:t>
      </w:r>
      <w:r w:rsidRPr="006D7812">
        <w:rPr>
          <w:sz w:val="22"/>
          <w:szCs w:val="22"/>
        </w:rPr>
        <w:t>year. Number of Analysts Following is the number of analysts following the firm.</w:t>
      </w:r>
    </w:p>
    <w:p w:rsidR="006D7812" w:rsidRDefault="006D7812" w:rsidP="006D7812">
      <w:pPr>
        <w:jc w:val="both"/>
        <w:rPr>
          <w:sz w:val="22"/>
          <w:szCs w:val="22"/>
        </w:rPr>
      </w:pPr>
    </w:p>
    <w:p w:rsidR="00887081" w:rsidRDefault="00887081" w:rsidP="006D7812">
      <w:pPr>
        <w:jc w:val="both"/>
        <w:rPr>
          <w:sz w:val="22"/>
          <w:szCs w:val="22"/>
        </w:rPr>
        <w:sectPr w:rsidR="00887081" w:rsidSect="00890E88">
          <w:footerReference w:type="default" r:id="rId12"/>
          <w:pgSz w:w="11900" w:h="16840"/>
          <w:pgMar w:top="1440" w:right="1800" w:bottom="1440" w:left="1800" w:header="708" w:footer="708" w:gutter="0"/>
          <w:cols w:space="708"/>
          <w:docGrid w:linePitch="360"/>
        </w:sectPr>
      </w:pPr>
    </w:p>
    <w:p w:rsidR="00887081" w:rsidRPr="00B9018D" w:rsidRDefault="00887081">
      <w:pPr>
        <w:rPr>
          <w:b/>
          <w:sz w:val="22"/>
          <w:szCs w:val="22"/>
        </w:rPr>
      </w:pPr>
      <w:r w:rsidRPr="00B9018D">
        <w:rPr>
          <w:b/>
          <w:sz w:val="22"/>
          <w:szCs w:val="22"/>
        </w:rPr>
        <w:lastRenderedPageBreak/>
        <w:t>Table 2: The Reaction to 8-K forms</w:t>
      </w:r>
    </w:p>
    <w:p w:rsidR="00887081" w:rsidRPr="00B9018D" w:rsidRDefault="00887081">
      <w:pPr>
        <w:rPr>
          <w:b/>
          <w:sz w:val="22"/>
          <w:szCs w:val="22"/>
        </w:rPr>
      </w:pPr>
    </w:p>
    <w:p w:rsidR="00887081" w:rsidRPr="00B9018D" w:rsidRDefault="00887081">
      <w:pPr>
        <w:rPr>
          <w:b/>
          <w:sz w:val="22"/>
          <w:szCs w:val="22"/>
        </w:rPr>
      </w:pPr>
      <w:r w:rsidRPr="00B9018D">
        <w:rPr>
          <w:b/>
          <w:sz w:val="22"/>
          <w:szCs w:val="22"/>
        </w:rPr>
        <w:t>Panel A: Reaction to 8-K with and without Earnings Related Information</w:t>
      </w:r>
    </w:p>
    <w:p w:rsidR="00887081" w:rsidRDefault="00887081">
      <w:pPr>
        <w:rPr>
          <w:sz w:val="22"/>
          <w:szCs w:val="22"/>
        </w:rPr>
      </w:pPr>
    </w:p>
    <w:tbl>
      <w:tblPr>
        <w:tblW w:w="9806" w:type="dxa"/>
        <w:tblInd w:w="108" w:type="dxa"/>
        <w:tblLayout w:type="fixed"/>
        <w:tblLook w:val="04A0"/>
      </w:tblPr>
      <w:tblGrid>
        <w:gridCol w:w="1788"/>
        <w:gridCol w:w="2323"/>
        <w:gridCol w:w="851"/>
        <w:gridCol w:w="764"/>
        <w:gridCol w:w="851"/>
        <w:gridCol w:w="709"/>
        <w:gridCol w:w="992"/>
        <w:gridCol w:w="764"/>
        <w:gridCol w:w="764"/>
      </w:tblGrid>
      <w:tr w:rsidR="00887081" w:rsidRPr="00887081" w:rsidTr="00B9018D">
        <w:trPr>
          <w:trHeight w:val="300"/>
        </w:trPr>
        <w:tc>
          <w:tcPr>
            <w:tcW w:w="1788" w:type="dxa"/>
            <w:tcBorders>
              <w:top w:val="nil"/>
              <w:left w:val="nil"/>
              <w:bottom w:val="single" w:sz="4" w:space="0" w:color="auto"/>
              <w:right w:val="nil"/>
            </w:tcBorders>
            <w:shd w:val="clear" w:color="auto" w:fill="auto"/>
            <w:noWrap/>
            <w:vAlign w:val="bottom"/>
            <w:hideMark/>
          </w:tcPr>
          <w:p w:rsidR="00887081" w:rsidRPr="00887081" w:rsidRDefault="00887081" w:rsidP="00887081">
            <w:pPr>
              <w:rPr>
                <w:rFonts w:eastAsia="Times New Roman"/>
                <w:b/>
                <w:color w:val="000000"/>
                <w:sz w:val="22"/>
                <w:szCs w:val="22"/>
              </w:rPr>
            </w:pPr>
          </w:p>
        </w:tc>
        <w:tc>
          <w:tcPr>
            <w:tcW w:w="2323" w:type="dxa"/>
            <w:tcBorders>
              <w:top w:val="nil"/>
              <w:left w:val="nil"/>
              <w:bottom w:val="single" w:sz="4" w:space="0" w:color="auto"/>
              <w:right w:val="nil"/>
            </w:tcBorders>
            <w:shd w:val="clear" w:color="auto" w:fill="auto"/>
            <w:noWrap/>
            <w:vAlign w:val="bottom"/>
            <w:hideMark/>
          </w:tcPr>
          <w:p w:rsidR="00887081" w:rsidRPr="00887081" w:rsidRDefault="00887081" w:rsidP="00887081">
            <w:pPr>
              <w:rPr>
                <w:rFonts w:eastAsia="Times New Roman"/>
                <w:b/>
                <w:color w:val="000000"/>
                <w:sz w:val="22"/>
                <w:szCs w:val="22"/>
              </w:rPr>
            </w:pPr>
            <w:r w:rsidRPr="00887081">
              <w:rPr>
                <w:rFonts w:eastAsia="Times New Roman"/>
                <w:b/>
                <w:color w:val="000000"/>
                <w:sz w:val="22"/>
                <w:szCs w:val="22"/>
              </w:rPr>
              <w:t>Variable</w:t>
            </w:r>
          </w:p>
        </w:tc>
        <w:tc>
          <w:tcPr>
            <w:tcW w:w="851"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b/>
                <w:bCs/>
                <w:color w:val="000000"/>
                <w:sz w:val="22"/>
                <w:szCs w:val="22"/>
              </w:rPr>
            </w:pPr>
            <w:r w:rsidRPr="00887081">
              <w:rPr>
                <w:rFonts w:eastAsia="Times New Roman"/>
                <w:b/>
                <w:bCs/>
                <w:color w:val="000000"/>
                <w:sz w:val="22"/>
                <w:szCs w:val="22"/>
              </w:rPr>
              <w:t>N</w:t>
            </w:r>
          </w:p>
        </w:tc>
        <w:tc>
          <w:tcPr>
            <w:tcW w:w="764"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b/>
                <w:bCs/>
                <w:color w:val="000000"/>
                <w:sz w:val="22"/>
                <w:szCs w:val="22"/>
              </w:rPr>
            </w:pPr>
            <w:r w:rsidRPr="00887081">
              <w:rPr>
                <w:rFonts w:eastAsia="Times New Roman"/>
                <w:b/>
                <w:bCs/>
                <w:color w:val="000000"/>
                <w:sz w:val="22"/>
                <w:szCs w:val="22"/>
              </w:rPr>
              <w:t>Mean</w:t>
            </w:r>
          </w:p>
        </w:tc>
        <w:tc>
          <w:tcPr>
            <w:tcW w:w="851"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b/>
                <w:bCs/>
                <w:color w:val="000000"/>
                <w:sz w:val="22"/>
                <w:szCs w:val="22"/>
              </w:rPr>
            </w:pPr>
            <w:r w:rsidRPr="00887081">
              <w:rPr>
                <w:rFonts w:eastAsia="Times New Roman"/>
                <w:b/>
                <w:bCs/>
                <w:color w:val="000000"/>
                <w:sz w:val="22"/>
                <w:szCs w:val="22"/>
              </w:rPr>
              <w:t>Min</w:t>
            </w:r>
          </w:p>
        </w:tc>
        <w:tc>
          <w:tcPr>
            <w:tcW w:w="709"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b/>
                <w:bCs/>
                <w:color w:val="000000"/>
                <w:sz w:val="22"/>
                <w:szCs w:val="22"/>
              </w:rPr>
            </w:pPr>
            <w:r w:rsidRPr="00887081">
              <w:rPr>
                <w:rFonts w:eastAsia="Times New Roman"/>
                <w:b/>
                <w:bCs/>
                <w:color w:val="000000"/>
                <w:sz w:val="22"/>
                <w:szCs w:val="22"/>
              </w:rPr>
              <w:t>Q1</w:t>
            </w:r>
          </w:p>
        </w:tc>
        <w:tc>
          <w:tcPr>
            <w:tcW w:w="992"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b/>
                <w:bCs/>
                <w:color w:val="000000"/>
                <w:sz w:val="22"/>
                <w:szCs w:val="22"/>
              </w:rPr>
            </w:pPr>
            <w:r w:rsidRPr="00887081">
              <w:rPr>
                <w:rFonts w:eastAsia="Times New Roman"/>
                <w:b/>
                <w:bCs/>
                <w:color w:val="000000"/>
                <w:sz w:val="22"/>
                <w:szCs w:val="22"/>
              </w:rPr>
              <w:t xml:space="preserve">Median </w:t>
            </w:r>
          </w:p>
        </w:tc>
        <w:tc>
          <w:tcPr>
            <w:tcW w:w="764"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b/>
                <w:bCs/>
                <w:color w:val="000000"/>
                <w:sz w:val="22"/>
                <w:szCs w:val="22"/>
              </w:rPr>
            </w:pPr>
            <w:r w:rsidRPr="00887081">
              <w:rPr>
                <w:rFonts w:eastAsia="Times New Roman"/>
                <w:b/>
                <w:bCs/>
                <w:color w:val="000000"/>
                <w:sz w:val="22"/>
                <w:szCs w:val="22"/>
              </w:rPr>
              <w:t>Q3</w:t>
            </w:r>
          </w:p>
        </w:tc>
        <w:tc>
          <w:tcPr>
            <w:tcW w:w="764" w:type="dxa"/>
            <w:tcBorders>
              <w:top w:val="nil"/>
              <w:left w:val="nil"/>
              <w:bottom w:val="single" w:sz="4" w:space="0" w:color="auto"/>
              <w:right w:val="nil"/>
            </w:tcBorders>
            <w:shd w:val="clear" w:color="auto" w:fill="auto"/>
            <w:noWrap/>
            <w:vAlign w:val="bottom"/>
            <w:hideMark/>
          </w:tcPr>
          <w:p w:rsidR="00887081" w:rsidRPr="00887081" w:rsidRDefault="00B9018D" w:rsidP="00887081">
            <w:pPr>
              <w:jc w:val="center"/>
              <w:rPr>
                <w:rFonts w:eastAsia="Times New Roman"/>
                <w:b/>
                <w:bCs/>
                <w:color w:val="000000"/>
                <w:sz w:val="22"/>
                <w:szCs w:val="22"/>
              </w:rPr>
            </w:pPr>
            <w:r>
              <w:rPr>
                <w:rFonts w:eastAsia="Times New Roman"/>
                <w:b/>
                <w:bCs/>
                <w:color w:val="000000"/>
                <w:sz w:val="22"/>
                <w:szCs w:val="22"/>
              </w:rPr>
              <w:t>Max</w:t>
            </w:r>
          </w:p>
        </w:tc>
      </w:tr>
      <w:tr w:rsidR="00887081" w:rsidRPr="00887081" w:rsidTr="00B9018D">
        <w:trPr>
          <w:trHeight w:val="300"/>
        </w:trPr>
        <w:tc>
          <w:tcPr>
            <w:tcW w:w="1788" w:type="dxa"/>
            <w:vMerge w:val="restart"/>
            <w:tcBorders>
              <w:top w:val="single" w:sz="4" w:space="0" w:color="auto"/>
              <w:left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No earnings Info</w:t>
            </w:r>
          </w:p>
          <w:p w:rsidR="00887081" w:rsidRPr="00887081" w:rsidRDefault="00887081" w:rsidP="00887081">
            <w:pPr>
              <w:rPr>
                <w:rFonts w:eastAsia="Times New Roman"/>
                <w:color w:val="000000"/>
                <w:sz w:val="22"/>
                <w:szCs w:val="22"/>
              </w:rPr>
            </w:pPr>
            <w:r w:rsidRPr="00887081">
              <w:rPr>
                <w:rFonts w:eastAsia="Times New Roman"/>
                <w:color w:val="000000"/>
                <w:sz w:val="22"/>
                <w:szCs w:val="22"/>
              </w:rPr>
              <w:t> </w:t>
            </w:r>
          </w:p>
        </w:tc>
        <w:tc>
          <w:tcPr>
            <w:tcW w:w="2323" w:type="dxa"/>
            <w:tcBorders>
              <w:top w:val="single" w:sz="4" w:space="0" w:color="auto"/>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Reaction Ratio</w:t>
            </w:r>
          </w:p>
        </w:tc>
        <w:tc>
          <w:tcPr>
            <w:tcW w:w="851" w:type="dxa"/>
            <w:tcBorders>
              <w:top w:val="single" w:sz="4" w:space="0" w:color="auto"/>
              <w:left w:val="nil"/>
              <w:bottom w:val="nil"/>
              <w:right w:val="nil"/>
            </w:tcBorders>
            <w:shd w:val="clear" w:color="auto" w:fill="auto"/>
            <w:noWrap/>
            <w:vAlign w:val="bottom"/>
            <w:hideMark/>
          </w:tcPr>
          <w:p w:rsidR="00887081" w:rsidRPr="00887081" w:rsidRDefault="00887081" w:rsidP="00720109">
            <w:pPr>
              <w:jc w:val="center"/>
              <w:rPr>
                <w:rFonts w:eastAsia="Times New Roman"/>
                <w:color w:val="000000"/>
                <w:sz w:val="22"/>
                <w:szCs w:val="22"/>
              </w:rPr>
            </w:pPr>
            <w:r w:rsidRPr="00887081">
              <w:rPr>
                <w:rFonts w:eastAsia="Times New Roman"/>
                <w:color w:val="000000"/>
                <w:sz w:val="22"/>
                <w:szCs w:val="22"/>
              </w:rPr>
              <w:t>65,39</w:t>
            </w:r>
            <w:r w:rsidR="00720109">
              <w:rPr>
                <w:rFonts w:eastAsia="Times New Roman"/>
                <w:color w:val="000000"/>
                <w:sz w:val="22"/>
                <w:szCs w:val="22"/>
              </w:rPr>
              <w:t>0</w:t>
            </w:r>
          </w:p>
        </w:tc>
        <w:tc>
          <w:tcPr>
            <w:tcW w:w="764" w:type="dxa"/>
            <w:tcBorders>
              <w:top w:val="single" w:sz="4" w:space="0" w:color="auto"/>
              <w:left w:val="nil"/>
              <w:bottom w:val="nil"/>
              <w:right w:val="nil"/>
            </w:tcBorders>
            <w:shd w:val="clear" w:color="auto" w:fill="auto"/>
            <w:noWrap/>
            <w:vAlign w:val="bottom"/>
            <w:hideMark/>
          </w:tcPr>
          <w:p w:rsidR="00887081" w:rsidRPr="00887081" w:rsidRDefault="00887081" w:rsidP="00720109">
            <w:pPr>
              <w:jc w:val="center"/>
              <w:rPr>
                <w:rFonts w:eastAsia="Times New Roman"/>
                <w:color w:val="000000"/>
                <w:sz w:val="22"/>
                <w:szCs w:val="22"/>
              </w:rPr>
            </w:pPr>
            <w:r w:rsidRPr="00887081">
              <w:rPr>
                <w:rFonts w:eastAsia="Times New Roman"/>
                <w:color w:val="000000"/>
                <w:sz w:val="22"/>
                <w:szCs w:val="22"/>
              </w:rPr>
              <w:t>0.1</w:t>
            </w:r>
            <w:r w:rsidR="00720109">
              <w:rPr>
                <w:rFonts w:eastAsia="Times New Roman"/>
                <w:color w:val="000000"/>
                <w:sz w:val="22"/>
                <w:szCs w:val="22"/>
              </w:rPr>
              <w:t>37</w:t>
            </w:r>
          </w:p>
        </w:tc>
        <w:tc>
          <w:tcPr>
            <w:tcW w:w="851" w:type="dxa"/>
            <w:tcBorders>
              <w:top w:val="single" w:sz="4" w:space="0" w:color="auto"/>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w:t>
            </w:r>
          </w:p>
        </w:tc>
        <w:tc>
          <w:tcPr>
            <w:tcW w:w="709" w:type="dxa"/>
            <w:tcBorders>
              <w:top w:val="single" w:sz="4" w:space="0" w:color="auto"/>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w:t>
            </w:r>
          </w:p>
        </w:tc>
        <w:tc>
          <w:tcPr>
            <w:tcW w:w="992" w:type="dxa"/>
            <w:tcBorders>
              <w:top w:val="single" w:sz="4" w:space="0" w:color="auto"/>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w:t>
            </w:r>
          </w:p>
        </w:tc>
        <w:tc>
          <w:tcPr>
            <w:tcW w:w="764" w:type="dxa"/>
            <w:tcBorders>
              <w:top w:val="single" w:sz="4" w:space="0" w:color="auto"/>
              <w:left w:val="nil"/>
              <w:bottom w:val="nil"/>
              <w:right w:val="nil"/>
            </w:tcBorders>
            <w:shd w:val="clear" w:color="auto" w:fill="auto"/>
            <w:noWrap/>
            <w:vAlign w:val="bottom"/>
            <w:hideMark/>
          </w:tcPr>
          <w:p w:rsidR="00887081" w:rsidRPr="00887081" w:rsidRDefault="00887081" w:rsidP="00720109">
            <w:pPr>
              <w:jc w:val="center"/>
              <w:rPr>
                <w:rFonts w:eastAsia="Times New Roman"/>
                <w:color w:val="000000"/>
                <w:sz w:val="22"/>
                <w:szCs w:val="22"/>
              </w:rPr>
            </w:pPr>
            <w:r w:rsidRPr="00887081">
              <w:rPr>
                <w:rFonts w:eastAsia="Times New Roman"/>
                <w:color w:val="000000"/>
                <w:sz w:val="22"/>
                <w:szCs w:val="22"/>
              </w:rPr>
              <w:t>0.1</w:t>
            </w:r>
            <w:r w:rsidR="00720109">
              <w:rPr>
                <w:rFonts w:eastAsia="Times New Roman"/>
                <w:color w:val="000000"/>
                <w:sz w:val="22"/>
                <w:szCs w:val="22"/>
              </w:rPr>
              <w:t>43</w:t>
            </w:r>
          </w:p>
        </w:tc>
        <w:tc>
          <w:tcPr>
            <w:tcW w:w="764" w:type="dxa"/>
            <w:tcBorders>
              <w:top w:val="single" w:sz="4" w:space="0" w:color="auto"/>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w:t>
            </w:r>
          </w:p>
        </w:tc>
      </w:tr>
      <w:tr w:rsidR="00887081" w:rsidRPr="00887081" w:rsidTr="00B9018D">
        <w:trPr>
          <w:trHeight w:val="300"/>
        </w:trPr>
        <w:tc>
          <w:tcPr>
            <w:tcW w:w="1788" w:type="dxa"/>
            <w:vMerge/>
            <w:tcBorders>
              <w:left w:val="nil"/>
              <w:bottom w:val="single" w:sz="4" w:space="0" w:color="auto"/>
              <w:right w:val="nil"/>
            </w:tcBorders>
            <w:shd w:val="clear" w:color="auto" w:fill="auto"/>
            <w:noWrap/>
            <w:vAlign w:val="bottom"/>
            <w:hideMark/>
          </w:tcPr>
          <w:p w:rsidR="00887081" w:rsidRPr="00887081" w:rsidRDefault="00887081" w:rsidP="00887081">
            <w:pPr>
              <w:rPr>
                <w:rFonts w:eastAsia="Times New Roman"/>
                <w:color w:val="000000"/>
                <w:sz w:val="22"/>
                <w:szCs w:val="22"/>
              </w:rPr>
            </w:pPr>
          </w:p>
        </w:tc>
        <w:tc>
          <w:tcPr>
            <w:tcW w:w="2323" w:type="dxa"/>
            <w:tcBorders>
              <w:top w:val="nil"/>
              <w:left w:val="nil"/>
              <w:bottom w:val="single" w:sz="4" w:space="0" w:color="auto"/>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Likelihood of Reaction</w:t>
            </w:r>
          </w:p>
        </w:tc>
        <w:tc>
          <w:tcPr>
            <w:tcW w:w="851" w:type="dxa"/>
            <w:tcBorders>
              <w:top w:val="nil"/>
              <w:left w:val="nil"/>
              <w:bottom w:val="single" w:sz="4" w:space="0" w:color="auto"/>
              <w:right w:val="nil"/>
            </w:tcBorders>
            <w:shd w:val="clear" w:color="auto" w:fill="auto"/>
            <w:noWrap/>
            <w:vAlign w:val="bottom"/>
            <w:hideMark/>
          </w:tcPr>
          <w:p w:rsidR="00887081" w:rsidRPr="00887081" w:rsidRDefault="00720109" w:rsidP="00887081">
            <w:pPr>
              <w:jc w:val="center"/>
              <w:rPr>
                <w:rFonts w:eastAsia="Times New Roman"/>
                <w:color w:val="000000"/>
                <w:sz w:val="22"/>
                <w:szCs w:val="22"/>
              </w:rPr>
            </w:pPr>
            <w:r>
              <w:rPr>
                <w:rFonts w:eastAsia="Times New Roman"/>
                <w:color w:val="000000"/>
                <w:sz w:val="22"/>
                <w:szCs w:val="22"/>
              </w:rPr>
              <w:t>65,390</w:t>
            </w:r>
          </w:p>
        </w:tc>
        <w:tc>
          <w:tcPr>
            <w:tcW w:w="764" w:type="dxa"/>
            <w:tcBorders>
              <w:top w:val="nil"/>
              <w:left w:val="nil"/>
              <w:bottom w:val="single" w:sz="4" w:space="0" w:color="auto"/>
              <w:right w:val="nil"/>
            </w:tcBorders>
            <w:shd w:val="clear" w:color="auto" w:fill="auto"/>
            <w:noWrap/>
            <w:vAlign w:val="bottom"/>
            <w:hideMark/>
          </w:tcPr>
          <w:p w:rsidR="00887081" w:rsidRPr="00887081" w:rsidRDefault="00887081" w:rsidP="009E7E3B">
            <w:pPr>
              <w:jc w:val="center"/>
              <w:rPr>
                <w:rFonts w:eastAsia="Times New Roman"/>
                <w:color w:val="000000"/>
                <w:sz w:val="22"/>
                <w:szCs w:val="22"/>
              </w:rPr>
            </w:pPr>
            <w:r w:rsidRPr="00887081">
              <w:rPr>
                <w:rFonts w:eastAsia="Times New Roman"/>
                <w:color w:val="000000"/>
                <w:sz w:val="22"/>
                <w:szCs w:val="22"/>
              </w:rPr>
              <w:t>0.3</w:t>
            </w:r>
            <w:r w:rsidR="009E7E3B">
              <w:rPr>
                <w:rFonts w:eastAsia="Times New Roman"/>
                <w:color w:val="000000"/>
                <w:sz w:val="22"/>
                <w:szCs w:val="22"/>
              </w:rPr>
              <w:t>76</w:t>
            </w:r>
          </w:p>
        </w:tc>
        <w:tc>
          <w:tcPr>
            <w:tcW w:w="851"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w:t>
            </w:r>
          </w:p>
        </w:tc>
        <w:tc>
          <w:tcPr>
            <w:tcW w:w="709"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w:t>
            </w:r>
          </w:p>
        </w:tc>
        <w:tc>
          <w:tcPr>
            <w:tcW w:w="992"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w:t>
            </w:r>
          </w:p>
        </w:tc>
        <w:tc>
          <w:tcPr>
            <w:tcW w:w="764"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w:t>
            </w:r>
          </w:p>
        </w:tc>
        <w:tc>
          <w:tcPr>
            <w:tcW w:w="764"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w:t>
            </w:r>
          </w:p>
        </w:tc>
      </w:tr>
      <w:tr w:rsidR="00887081" w:rsidRPr="00887081" w:rsidTr="00B9018D">
        <w:trPr>
          <w:trHeight w:val="300"/>
        </w:trPr>
        <w:tc>
          <w:tcPr>
            <w:tcW w:w="1788" w:type="dxa"/>
            <w:vMerge w:val="restart"/>
            <w:tcBorders>
              <w:top w:val="nil"/>
              <w:left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Earnings Release</w:t>
            </w:r>
          </w:p>
          <w:p w:rsidR="00887081" w:rsidRPr="00887081" w:rsidRDefault="00887081" w:rsidP="00887081">
            <w:pPr>
              <w:rPr>
                <w:rFonts w:eastAsia="Times New Roman"/>
                <w:color w:val="000000"/>
                <w:sz w:val="22"/>
                <w:szCs w:val="22"/>
              </w:rPr>
            </w:pPr>
            <w:r w:rsidRPr="00887081">
              <w:rPr>
                <w:rFonts w:eastAsia="Times New Roman"/>
                <w:color w:val="000000"/>
                <w:sz w:val="22"/>
                <w:szCs w:val="22"/>
              </w:rPr>
              <w:t> </w:t>
            </w:r>
          </w:p>
        </w:tc>
        <w:tc>
          <w:tcPr>
            <w:tcW w:w="2323"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Reaction Ratio</w:t>
            </w:r>
          </w:p>
        </w:tc>
        <w:tc>
          <w:tcPr>
            <w:tcW w:w="851"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36,693</w:t>
            </w:r>
          </w:p>
        </w:tc>
        <w:tc>
          <w:tcPr>
            <w:tcW w:w="76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0.703</w:t>
            </w:r>
          </w:p>
        </w:tc>
        <w:tc>
          <w:tcPr>
            <w:tcW w:w="851"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w:t>
            </w:r>
          </w:p>
        </w:tc>
        <w:tc>
          <w:tcPr>
            <w:tcW w:w="709"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0.5</w:t>
            </w:r>
          </w:p>
        </w:tc>
        <w:tc>
          <w:tcPr>
            <w:tcW w:w="992"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0.75</w:t>
            </w:r>
          </w:p>
        </w:tc>
        <w:tc>
          <w:tcPr>
            <w:tcW w:w="76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w:t>
            </w:r>
          </w:p>
        </w:tc>
        <w:tc>
          <w:tcPr>
            <w:tcW w:w="76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w:t>
            </w:r>
          </w:p>
        </w:tc>
      </w:tr>
      <w:tr w:rsidR="00887081" w:rsidRPr="00887081" w:rsidTr="00B9018D">
        <w:trPr>
          <w:trHeight w:val="300"/>
        </w:trPr>
        <w:tc>
          <w:tcPr>
            <w:tcW w:w="1788" w:type="dxa"/>
            <w:vMerge/>
            <w:tcBorders>
              <w:left w:val="nil"/>
              <w:bottom w:val="single" w:sz="4" w:space="0" w:color="auto"/>
              <w:right w:val="nil"/>
            </w:tcBorders>
            <w:shd w:val="clear" w:color="auto" w:fill="auto"/>
            <w:noWrap/>
            <w:vAlign w:val="bottom"/>
            <w:hideMark/>
          </w:tcPr>
          <w:p w:rsidR="00887081" w:rsidRPr="00887081" w:rsidRDefault="00887081" w:rsidP="00887081">
            <w:pPr>
              <w:rPr>
                <w:rFonts w:eastAsia="Times New Roman"/>
                <w:color w:val="000000"/>
                <w:sz w:val="22"/>
                <w:szCs w:val="22"/>
              </w:rPr>
            </w:pPr>
          </w:p>
        </w:tc>
        <w:tc>
          <w:tcPr>
            <w:tcW w:w="2323" w:type="dxa"/>
            <w:tcBorders>
              <w:top w:val="nil"/>
              <w:left w:val="nil"/>
              <w:bottom w:val="single" w:sz="4" w:space="0" w:color="auto"/>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Likelihood of Reaction</w:t>
            </w:r>
          </w:p>
        </w:tc>
        <w:tc>
          <w:tcPr>
            <w:tcW w:w="851"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36,693</w:t>
            </w:r>
          </w:p>
        </w:tc>
        <w:tc>
          <w:tcPr>
            <w:tcW w:w="764"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0.936</w:t>
            </w:r>
          </w:p>
        </w:tc>
        <w:tc>
          <w:tcPr>
            <w:tcW w:w="851"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w:t>
            </w:r>
          </w:p>
        </w:tc>
        <w:tc>
          <w:tcPr>
            <w:tcW w:w="709"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w:t>
            </w:r>
          </w:p>
        </w:tc>
        <w:tc>
          <w:tcPr>
            <w:tcW w:w="992"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w:t>
            </w:r>
          </w:p>
        </w:tc>
        <w:tc>
          <w:tcPr>
            <w:tcW w:w="764"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w:t>
            </w:r>
          </w:p>
        </w:tc>
        <w:tc>
          <w:tcPr>
            <w:tcW w:w="764" w:type="dxa"/>
            <w:tcBorders>
              <w:top w:val="nil"/>
              <w:left w:val="nil"/>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w:t>
            </w:r>
          </w:p>
        </w:tc>
      </w:tr>
    </w:tbl>
    <w:p w:rsidR="00887081" w:rsidRDefault="00887081">
      <w:pPr>
        <w:rPr>
          <w:sz w:val="22"/>
          <w:szCs w:val="22"/>
        </w:rPr>
      </w:pPr>
    </w:p>
    <w:p w:rsidR="00887081" w:rsidRDefault="00887081">
      <w:pPr>
        <w:rPr>
          <w:sz w:val="22"/>
          <w:szCs w:val="22"/>
        </w:rPr>
      </w:pPr>
    </w:p>
    <w:p w:rsidR="00887081" w:rsidRPr="00B9018D" w:rsidRDefault="00887081">
      <w:pPr>
        <w:rPr>
          <w:b/>
          <w:sz w:val="22"/>
          <w:szCs w:val="22"/>
        </w:rPr>
      </w:pPr>
      <w:r w:rsidRPr="00B9018D">
        <w:rPr>
          <w:b/>
          <w:sz w:val="22"/>
          <w:szCs w:val="22"/>
        </w:rPr>
        <w:t xml:space="preserve">Panel B: </w:t>
      </w:r>
      <w:r w:rsidR="00B9018D" w:rsidRPr="00B9018D">
        <w:rPr>
          <w:b/>
          <w:sz w:val="22"/>
          <w:szCs w:val="22"/>
        </w:rPr>
        <w:t xml:space="preserve">Mean </w:t>
      </w:r>
      <w:r w:rsidRPr="00B9018D">
        <w:rPr>
          <w:b/>
          <w:sz w:val="22"/>
          <w:szCs w:val="22"/>
        </w:rPr>
        <w:t>Reaction Ratio and Likelihood of Reaction by 8-K Item</w:t>
      </w:r>
    </w:p>
    <w:p w:rsidR="00887081" w:rsidRDefault="00887081">
      <w:pPr>
        <w:rPr>
          <w:sz w:val="22"/>
          <w:szCs w:val="22"/>
        </w:rPr>
      </w:pPr>
    </w:p>
    <w:tbl>
      <w:tblPr>
        <w:tblW w:w="8364" w:type="dxa"/>
        <w:tblInd w:w="108" w:type="dxa"/>
        <w:tblLayout w:type="fixed"/>
        <w:tblLook w:val="04A0"/>
      </w:tblPr>
      <w:tblGrid>
        <w:gridCol w:w="1134"/>
        <w:gridCol w:w="1134"/>
        <w:gridCol w:w="1560"/>
        <w:gridCol w:w="1134"/>
        <w:gridCol w:w="884"/>
        <w:gridCol w:w="1384"/>
        <w:gridCol w:w="1134"/>
      </w:tblGrid>
      <w:tr w:rsidR="00B9018D" w:rsidRPr="00887081" w:rsidTr="00B9018D">
        <w:trPr>
          <w:trHeight w:val="300"/>
        </w:trPr>
        <w:tc>
          <w:tcPr>
            <w:tcW w:w="1134" w:type="dxa"/>
            <w:tcBorders>
              <w:top w:val="nil"/>
              <w:left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p>
        </w:tc>
        <w:tc>
          <w:tcPr>
            <w:tcW w:w="3828" w:type="dxa"/>
            <w:gridSpan w:val="3"/>
            <w:tcBorders>
              <w:top w:val="nil"/>
              <w:left w:val="nil"/>
              <w:bottom w:val="single" w:sz="4" w:space="0" w:color="auto"/>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 xml:space="preserve">Multiple Item </w:t>
            </w:r>
            <w:r w:rsidR="002C6604">
              <w:rPr>
                <w:rFonts w:eastAsia="Times New Roman"/>
                <w:color w:val="000000"/>
                <w:sz w:val="22"/>
                <w:szCs w:val="22"/>
              </w:rPr>
              <w:t>8-K</w:t>
            </w:r>
          </w:p>
        </w:tc>
        <w:tc>
          <w:tcPr>
            <w:tcW w:w="3402" w:type="dxa"/>
            <w:gridSpan w:val="3"/>
            <w:tcBorders>
              <w:top w:val="nil"/>
              <w:left w:val="single" w:sz="4" w:space="0" w:color="auto"/>
              <w:bottom w:val="single" w:sz="4" w:space="0" w:color="auto"/>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 xml:space="preserve">Single Item </w:t>
            </w:r>
            <w:r w:rsidR="002C6604">
              <w:rPr>
                <w:rFonts w:eastAsia="Times New Roman"/>
                <w:color w:val="000000"/>
                <w:sz w:val="22"/>
                <w:szCs w:val="22"/>
              </w:rPr>
              <w:t>8-K</w:t>
            </w:r>
          </w:p>
        </w:tc>
      </w:tr>
      <w:tr w:rsidR="00B9018D" w:rsidRPr="00B9018D" w:rsidTr="00B9018D">
        <w:trPr>
          <w:trHeight w:val="600"/>
        </w:trPr>
        <w:tc>
          <w:tcPr>
            <w:tcW w:w="1134" w:type="dxa"/>
            <w:tcBorders>
              <w:left w:val="nil"/>
              <w:bottom w:val="single" w:sz="4" w:space="0" w:color="auto"/>
              <w:right w:val="nil"/>
            </w:tcBorders>
            <w:shd w:val="clear" w:color="auto" w:fill="auto"/>
            <w:noWrap/>
            <w:vAlign w:val="center"/>
            <w:hideMark/>
          </w:tcPr>
          <w:p w:rsidR="00887081" w:rsidRPr="00887081" w:rsidRDefault="00B9018D" w:rsidP="00B9018D">
            <w:pPr>
              <w:jc w:val="center"/>
              <w:rPr>
                <w:rFonts w:eastAsia="Times New Roman"/>
                <w:color w:val="000000"/>
                <w:sz w:val="22"/>
                <w:szCs w:val="22"/>
              </w:rPr>
            </w:pPr>
            <w:r>
              <w:rPr>
                <w:rFonts w:eastAsia="Times New Roman"/>
                <w:color w:val="000000"/>
                <w:sz w:val="22"/>
                <w:szCs w:val="22"/>
              </w:rPr>
              <w:t>8-K Item</w:t>
            </w:r>
          </w:p>
        </w:tc>
        <w:tc>
          <w:tcPr>
            <w:tcW w:w="1134" w:type="dxa"/>
            <w:tcBorders>
              <w:top w:val="single" w:sz="4" w:space="0" w:color="auto"/>
              <w:left w:val="nil"/>
              <w:bottom w:val="single" w:sz="4" w:space="0" w:color="auto"/>
              <w:right w:val="nil"/>
            </w:tcBorders>
            <w:shd w:val="clear" w:color="auto" w:fill="auto"/>
            <w:vAlign w:val="center"/>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N</w:t>
            </w:r>
          </w:p>
        </w:tc>
        <w:tc>
          <w:tcPr>
            <w:tcW w:w="1560" w:type="dxa"/>
            <w:tcBorders>
              <w:top w:val="single" w:sz="4" w:space="0" w:color="auto"/>
              <w:left w:val="nil"/>
              <w:bottom w:val="single" w:sz="4" w:space="0" w:color="auto"/>
              <w:right w:val="nil"/>
            </w:tcBorders>
            <w:shd w:val="clear" w:color="auto" w:fill="auto"/>
            <w:vAlign w:val="center"/>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Likelihood of Reaction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Reaction Ratio</w:t>
            </w:r>
          </w:p>
        </w:tc>
        <w:tc>
          <w:tcPr>
            <w:tcW w:w="884" w:type="dxa"/>
            <w:tcBorders>
              <w:top w:val="single" w:sz="4" w:space="0" w:color="auto"/>
              <w:left w:val="single" w:sz="4" w:space="0" w:color="auto"/>
              <w:bottom w:val="single" w:sz="4" w:space="0" w:color="auto"/>
              <w:right w:val="nil"/>
            </w:tcBorders>
            <w:shd w:val="clear" w:color="auto" w:fill="auto"/>
            <w:vAlign w:val="center"/>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N</w:t>
            </w:r>
          </w:p>
        </w:tc>
        <w:tc>
          <w:tcPr>
            <w:tcW w:w="1384" w:type="dxa"/>
            <w:tcBorders>
              <w:top w:val="single" w:sz="4" w:space="0" w:color="auto"/>
              <w:left w:val="nil"/>
              <w:bottom w:val="single" w:sz="4" w:space="0" w:color="auto"/>
              <w:right w:val="nil"/>
            </w:tcBorders>
            <w:shd w:val="clear" w:color="auto" w:fill="auto"/>
            <w:vAlign w:val="center"/>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Likelihood of Reaction</w:t>
            </w:r>
          </w:p>
        </w:tc>
        <w:tc>
          <w:tcPr>
            <w:tcW w:w="1134" w:type="dxa"/>
            <w:tcBorders>
              <w:top w:val="single" w:sz="4" w:space="0" w:color="auto"/>
              <w:left w:val="nil"/>
              <w:bottom w:val="single" w:sz="4" w:space="0" w:color="auto"/>
              <w:right w:val="nil"/>
            </w:tcBorders>
            <w:shd w:val="clear" w:color="auto" w:fill="auto"/>
            <w:vAlign w:val="center"/>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Reaction Ratio</w:t>
            </w:r>
          </w:p>
        </w:tc>
      </w:tr>
      <w:tr w:rsidR="00B9018D" w:rsidRPr="00887081" w:rsidTr="00B9018D">
        <w:trPr>
          <w:trHeight w:val="300"/>
        </w:trPr>
        <w:tc>
          <w:tcPr>
            <w:tcW w:w="1134" w:type="dxa"/>
            <w:tcBorders>
              <w:top w:val="single" w:sz="4" w:space="0" w:color="auto"/>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1</w:t>
            </w:r>
            <w:r w:rsidR="00B9018D">
              <w:rPr>
                <w:rFonts w:eastAsia="Times New Roman"/>
                <w:color w:val="000000"/>
                <w:sz w:val="22"/>
                <w:szCs w:val="22"/>
              </w:rPr>
              <w:t>.</w:t>
            </w:r>
            <w:r w:rsidRPr="00887081">
              <w:rPr>
                <w:rFonts w:eastAsia="Times New Roman"/>
                <w:color w:val="000000"/>
                <w:sz w:val="22"/>
                <w:szCs w:val="22"/>
              </w:rPr>
              <w:t>01</w:t>
            </w:r>
          </w:p>
        </w:tc>
        <w:tc>
          <w:tcPr>
            <w:tcW w:w="1134" w:type="dxa"/>
            <w:tcBorders>
              <w:top w:val="single" w:sz="4" w:space="0" w:color="auto"/>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17,777</w:t>
            </w:r>
          </w:p>
        </w:tc>
        <w:tc>
          <w:tcPr>
            <w:tcW w:w="1560" w:type="dxa"/>
            <w:tcBorders>
              <w:top w:val="single" w:sz="4" w:space="0" w:color="auto"/>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0.398</w:t>
            </w:r>
          </w:p>
        </w:tc>
        <w:tc>
          <w:tcPr>
            <w:tcW w:w="1134" w:type="dxa"/>
            <w:tcBorders>
              <w:top w:val="single" w:sz="4" w:space="0" w:color="auto"/>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0.162</w:t>
            </w:r>
          </w:p>
        </w:tc>
        <w:tc>
          <w:tcPr>
            <w:tcW w:w="884" w:type="dxa"/>
            <w:tcBorders>
              <w:top w:val="single" w:sz="4" w:space="0" w:color="auto"/>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10,446</w:t>
            </w:r>
          </w:p>
        </w:tc>
        <w:tc>
          <w:tcPr>
            <w:tcW w:w="1384" w:type="dxa"/>
            <w:tcBorders>
              <w:top w:val="single" w:sz="4" w:space="0" w:color="auto"/>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0.360</w:t>
            </w:r>
          </w:p>
        </w:tc>
        <w:tc>
          <w:tcPr>
            <w:tcW w:w="1134" w:type="dxa"/>
            <w:tcBorders>
              <w:top w:val="single" w:sz="4" w:space="0" w:color="auto"/>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0.145</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1</w:t>
            </w:r>
            <w:r w:rsidR="00B9018D">
              <w:rPr>
                <w:rFonts w:eastAsia="Times New Roman"/>
                <w:color w:val="000000"/>
                <w:sz w:val="22"/>
                <w:szCs w:val="22"/>
              </w:rPr>
              <w:t>.</w:t>
            </w:r>
            <w:r w:rsidRPr="00887081">
              <w:rPr>
                <w:rFonts w:eastAsia="Times New Roman"/>
                <w:color w:val="000000"/>
                <w:sz w:val="22"/>
                <w:szCs w:val="22"/>
              </w:rPr>
              <w:t>02</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1,333</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0.401</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0.155</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324</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0.315</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0.091</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2</w:t>
            </w:r>
            <w:r w:rsidR="00B9018D">
              <w:rPr>
                <w:rFonts w:eastAsia="Times New Roman"/>
                <w:color w:val="000000"/>
                <w:sz w:val="22"/>
                <w:szCs w:val="22"/>
              </w:rPr>
              <w:t>.</w:t>
            </w:r>
            <w:r w:rsidRPr="00887081">
              <w:rPr>
                <w:rFonts w:eastAsia="Times New Roman"/>
                <w:color w:val="000000"/>
                <w:sz w:val="22"/>
                <w:szCs w:val="22"/>
              </w:rPr>
              <w:t>01</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1,401</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0.502</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0.188</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571</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0.441</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0.154</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2</w:t>
            </w:r>
            <w:r w:rsidR="00B9018D">
              <w:rPr>
                <w:rFonts w:eastAsia="Times New Roman"/>
                <w:color w:val="000000"/>
                <w:sz w:val="22"/>
                <w:szCs w:val="22"/>
              </w:rPr>
              <w:t>.</w:t>
            </w:r>
            <w:r w:rsidRPr="00887081">
              <w:rPr>
                <w:rFonts w:eastAsia="Times New Roman"/>
                <w:color w:val="000000"/>
                <w:sz w:val="22"/>
                <w:szCs w:val="22"/>
              </w:rPr>
              <w:t>02</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36,693</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0.937</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0.703</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31,442</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0.942</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0.708</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2</w:t>
            </w:r>
            <w:r w:rsidR="00B9018D">
              <w:rPr>
                <w:rFonts w:eastAsia="Times New Roman"/>
                <w:color w:val="000000"/>
                <w:sz w:val="22"/>
                <w:szCs w:val="22"/>
              </w:rPr>
              <w:t>.</w:t>
            </w:r>
            <w:r w:rsidRPr="00887081">
              <w:rPr>
                <w:rFonts w:eastAsia="Times New Roman"/>
                <w:color w:val="000000"/>
                <w:sz w:val="22"/>
                <w:szCs w:val="22"/>
              </w:rPr>
              <w:t>03</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3,212</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0.411</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0.141</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703</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0.366</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0.126</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2</w:t>
            </w:r>
            <w:r w:rsidR="00B9018D">
              <w:rPr>
                <w:rFonts w:eastAsia="Times New Roman"/>
                <w:color w:val="000000"/>
                <w:sz w:val="22"/>
                <w:szCs w:val="22"/>
              </w:rPr>
              <w:t>.</w:t>
            </w:r>
            <w:r w:rsidRPr="00887081">
              <w:rPr>
                <w:rFonts w:eastAsia="Times New Roman"/>
                <w:color w:val="000000"/>
                <w:sz w:val="22"/>
                <w:szCs w:val="22"/>
              </w:rPr>
              <w:t>04</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173</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0.353</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0.117</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89</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0.360</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0.112</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2</w:t>
            </w:r>
            <w:r w:rsidR="00B9018D">
              <w:rPr>
                <w:rFonts w:eastAsia="Times New Roman"/>
                <w:color w:val="000000"/>
                <w:sz w:val="22"/>
                <w:szCs w:val="22"/>
              </w:rPr>
              <w:t>.</w:t>
            </w:r>
            <w:r w:rsidRPr="00887081">
              <w:rPr>
                <w:rFonts w:eastAsia="Times New Roman"/>
                <w:color w:val="000000"/>
                <w:sz w:val="22"/>
                <w:szCs w:val="22"/>
              </w:rPr>
              <w:t>05</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923</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0.576</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0.296</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437</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0.451</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0.161</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2</w:t>
            </w:r>
            <w:r w:rsidR="00B9018D">
              <w:rPr>
                <w:rFonts w:eastAsia="Times New Roman"/>
                <w:color w:val="000000"/>
                <w:sz w:val="22"/>
                <w:szCs w:val="22"/>
              </w:rPr>
              <w:t>.</w:t>
            </w:r>
            <w:r w:rsidRPr="00887081">
              <w:rPr>
                <w:rFonts w:eastAsia="Times New Roman"/>
                <w:color w:val="000000"/>
                <w:sz w:val="22"/>
                <w:szCs w:val="22"/>
              </w:rPr>
              <w:t>06</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325</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0.637</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0.364</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90</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0.444</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0.178</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3</w:t>
            </w:r>
            <w:r w:rsidR="00B9018D">
              <w:rPr>
                <w:rFonts w:eastAsia="Times New Roman"/>
                <w:color w:val="000000"/>
                <w:sz w:val="22"/>
                <w:szCs w:val="22"/>
              </w:rPr>
              <w:t>.</w:t>
            </w:r>
            <w:r w:rsidRPr="00887081">
              <w:rPr>
                <w:rFonts w:eastAsia="Times New Roman"/>
                <w:color w:val="000000"/>
                <w:sz w:val="22"/>
                <w:szCs w:val="22"/>
              </w:rPr>
              <w:t>01</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664</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0.247</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0.101</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451</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0.195</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0.065</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3</w:t>
            </w:r>
            <w:r w:rsidR="00B9018D">
              <w:rPr>
                <w:rFonts w:eastAsia="Times New Roman"/>
                <w:color w:val="000000"/>
                <w:sz w:val="22"/>
                <w:szCs w:val="22"/>
              </w:rPr>
              <w:t>.</w:t>
            </w:r>
            <w:r w:rsidRPr="00887081">
              <w:rPr>
                <w:rFonts w:eastAsia="Times New Roman"/>
                <w:color w:val="000000"/>
                <w:sz w:val="22"/>
                <w:szCs w:val="22"/>
              </w:rPr>
              <w:t>02</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1,100</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0.446</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0.169</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270</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0.315</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0.124</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3</w:t>
            </w:r>
            <w:r w:rsidR="00B9018D">
              <w:rPr>
                <w:rFonts w:eastAsia="Times New Roman"/>
                <w:color w:val="000000"/>
                <w:sz w:val="22"/>
                <w:szCs w:val="22"/>
              </w:rPr>
              <w:t>.</w:t>
            </w:r>
            <w:r w:rsidRPr="00887081">
              <w:rPr>
                <w:rFonts w:eastAsia="Times New Roman"/>
                <w:color w:val="000000"/>
                <w:sz w:val="22"/>
                <w:szCs w:val="22"/>
              </w:rPr>
              <w:t>03</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515</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0.338</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0.139</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95</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0.232</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0.086</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4</w:t>
            </w:r>
            <w:r w:rsidR="00B9018D">
              <w:rPr>
                <w:rFonts w:eastAsia="Times New Roman"/>
                <w:color w:val="000000"/>
                <w:sz w:val="22"/>
                <w:szCs w:val="22"/>
              </w:rPr>
              <w:t>.</w:t>
            </w:r>
            <w:r w:rsidRPr="00887081">
              <w:rPr>
                <w:rFonts w:eastAsia="Times New Roman"/>
                <w:color w:val="000000"/>
                <w:sz w:val="22"/>
                <w:szCs w:val="22"/>
              </w:rPr>
              <w:t>01</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526</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0.232</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0.101</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486</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0.233</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0.102</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4</w:t>
            </w:r>
            <w:r w:rsidR="00B9018D">
              <w:rPr>
                <w:rFonts w:eastAsia="Times New Roman"/>
                <w:color w:val="000000"/>
                <w:sz w:val="22"/>
                <w:szCs w:val="22"/>
              </w:rPr>
              <w:t>.</w:t>
            </w:r>
            <w:r w:rsidRPr="00887081">
              <w:rPr>
                <w:rFonts w:eastAsia="Times New Roman"/>
                <w:color w:val="000000"/>
                <w:sz w:val="22"/>
                <w:szCs w:val="22"/>
              </w:rPr>
              <w:t>02</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359</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0.579</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0.398</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156</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0.417</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0.242</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5</w:t>
            </w:r>
            <w:r w:rsidR="00B9018D">
              <w:rPr>
                <w:rFonts w:eastAsia="Times New Roman"/>
                <w:color w:val="000000"/>
                <w:sz w:val="22"/>
                <w:szCs w:val="22"/>
              </w:rPr>
              <w:t>.</w:t>
            </w:r>
            <w:r w:rsidRPr="00887081">
              <w:rPr>
                <w:rFonts w:eastAsia="Times New Roman"/>
                <w:color w:val="000000"/>
                <w:sz w:val="22"/>
                <w:szCs w:val="22"/>
              </w:rPr>
              <w:t>01</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53</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0.321</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0.147</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25</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0.280</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0.095</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5</w:t>
            </w:r>
            <w:r w:rsidR="00B9018D">
              <w:rPr>
                <w:rFonts w:eastAsia="Times New Roman"/>
                <w:color w:val="000000"/>
                <w:sz w:val="22"/>
                <w:szCs w:val="22"/>
              </w:rPr>
              <w:t>.</w:t>
            </w:r>
            <w:r w:rsidRPr="00887081">
              <w:rPr>
                <w:rFonts w:eastAsia="Times New Roman"/>
                <w:color w:val="000000"/>
                <w:sz w:val="22"/>
                <w:szCs w:val="22"/>
              </w:rPr>
              <w:t>02</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17,523</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0.364</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0.151</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12,591</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0.328</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0.121</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5</w:t>
            </w:r>
            <w:r w:rsidR="00B9018D">
              <w:rPr>
                <w:rFonts w:eastAsia="Times New Roman"/>
                <w:color w:val="000000"/>
                <w:sz w:val="22"/>
                <w:szCs w:val="22"/>
              </w:rPr>
              <w:t>.</w:t>
            </w:r>
            <w:r w:rsidRPr="00887081">
              <w:rPr>
                <w:rFonts w:eastAsia="Times New Roman"/>
                <w:color w:val="000000"/>
                <w:sz w:val="22"/>
                <w:szCs w:val="22"/>
              </w:rPr>
              <w:t>03</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2,972</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0.424</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0.173</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1,389</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0.381</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0.138</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5</w:t>
            </w:r>
            <w:r w:rsidR="00B9018D">
              <w:rPr>
                <w:rFonts w:eastAsia="Times New Roman"/>
                <w:color w:val="000000"/>
                <w:sz w:val="22"/>
                <w:szCs w:val="22"/>
              </w:rPr>
              <w:t>.</w:t>
            </w:r>
            <w:r w:rsidRPr="00887081">
              <w:rPr>
                <w:rFonts w:eastAsia="Times New Roman"/>
                <w:color w:val="000000"/>
                <w:sz w:val="22"/>
                <w:szCs w:val="22"/>
              </w:rPr>
              <w:t>04</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152</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0.289</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0.102</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135</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0.244</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0.073</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5</w:t>
            </w:r>
            <w:r w:rsidR="00B9018D">
              <w:rPr>
                <w:rFonts w:eastAsia="Times New Roman"/>
                <w:color w:val="000000"/>
                <w:sz w:val="22"/>
                <w:szCs w:val="22"/>
              </w:rPr>
              <w:t>.</w:t>
            </w:r>
            <w:r w:rsidRPr="00887081">
              <w:rPr>
                <w:rFonts w:eastAsia="Times New Roman"/>
                <w:color w:val="000000"/>
                <w:sz w:val="22"/>
                <w:szCs w:val="22"/>
              </w:rPr>
              <w:t>05</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189</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0.376</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0.188</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91</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0.319</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0.128</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5</w:t>
            </w:r>
            <w:r w:rsidR="00B9018D">
              <w:rPr>
                <w:rFonts w:eastAsia="Times New Roman"/>
                <w:color w:val="000000"/>
                <w:sz w:val="22"/>
                <w:szCs w:val="22"/>
              </w:rPr>
              <w:t>.</w:t>
            </w:r>
            <w:r w:rsidRPr="00887081">
              <w:rPr>
                <w:rFonts w:eastAsia="Times New Roman"/>
                <w:color w:val="000000"/>
                <w:sz w:val="22"/>
                <w:szCs w:val="22"/>
              </w:rPr>
              <w:t>07</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1,626</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0.335</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0.103</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997</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0.308</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0.087</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7</w:t>
            </w:r>
            <w:r w:rsidR="00B9018D">
              <w:rPr>
                <w:rFonts w:eastAsia="Times New Roman"/>
                <w:color w:val="000000"/>
                <w:sz w:val="22"/>
                <w:szCs w:val="22"/>
              </w:rPr>
              <w:t>.</w:t>
            </w:r>
            <w:r w:rsidRPr="00887081">
              <w:rPr>
                <w:rFonts w:eastAsia="Times New Roman"/>
                <w:color w:val="000000"/>
                <w:sz w:val="22"/>
                <w:szCs w:val="22"/>
              </w:rPr>
              <w:t>01</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15,593</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0.525</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0.252</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10,559</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0.451</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0.180</w:t>
            </w:r>
          </w:p>
        </w:tc>
      </w:tr>
      <w:tr w:rsidR="00B9018D" w:rsidRPr="00887081" w:rsidTr="00B9018D">
        <w:trPr>
          <w:trHeight w:val="300"/>
        </w:trPr>
        <w:tc>
          <w:tcPr>
            <w:tcW w:w="1134" w:type="dxa"/>
            <w:tcBorders>
              <w:top w:val="nil"/>
              <w:left w:val="nil"/>
              <w:bottom w:val="nil"/>
              <w:right w:val="nil"/>
            </w:tcBorders>
            <w:shd w:val="clear" w:color="auto" w:fill="auto"/>
            <w:noWrap/>
            <w:vAlign w:val="bottom"/>
            <w:hideMark/>
          </w:tcPr>
          <w:p w:rsidR="00887081" w:rsidRPr="00887081" w:rsidRDefault="00887081" w:rsidP="00887081">
            <w:pPr>
              <w:rPr>
                <w:rFonts w:eastAsia="Times New Roman"/>
                <w:color w:val="000000"/>
                <w:sz w:val="22"/>
                <w:szCs w:val="22"/>
              </w:rPr>
            </w:pPr>
            <w:r w:rsidRPr="00887081">
              <w:rPr>
                <w:rFonts w:eastAsia="Times New Roman"/>
                <w:color w:val="000000"/>
                <w:sz w:val="22"/>
                <w:szCs w:val="22"/>
              </w:rPr>
              <w:t>8</w:t>
            </w:r>
            <w:r w:rsidR="00B9018D">
              <w:rPr>
                <w:rFonts w:eastAsia="Times New Roman"/>
                <w:color w:val="000000"/>
                <w:sz w:val="22"/>
                <w:szCs w:val="22"/>
              </w:rPr>
              <w:t>.</w:t>
            </w:r>
            <w:r w:rsidRPr="00887081">
              <w:rPr>
                <w:rFonts w:eastAsia="Times New Roman"/>
                <w:color w:val="000000"/>
                <w:sz w:val="22"/>
                <w:szCs w:val="22"/>
              </w:rPr>
              <w:t>01</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19,663</w:t>
            </w:r>
          </w:p>
        </w:tc>
        <w:tc>
          <w:tcPr>
            <w:tcW w:w="1560"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0.419</w:t>
            </w:r>
          </w:p>
        </w:tc>
        <w:tc>
          <w:tcPr>
            <w:tcW w:w="1134" w:type="dxa"/>
            <w:tcBorders>
              <w:top w:val="nil"/>
              <w:left w:val="nil"/>
              <w:bottom w:val="nil"/>
              <w:right w:val="single" w:sz="4" w:space="0" w:color="auto"/>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0.165</w:t>
            </w:r>
          </w:p>
        </w:tc>
        <w:tc>
          <w:tcPr>
            <w:tcW w:w="884" w:type="dxa"/>
            <w:tcBorders>
              <w:top w:val="nil"/>
              <w:left w:val="single" w:sz="4" w:space="0" w:color="auto"/>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14,281</w:t>
            </w:r>
          </w:p>
        </w:tc>
        <w:tc>
          <w:tcPr>
            <w:tcW w:w="138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0.367</w:t>
            </w:r>
          </w:p>
        </w:tc>
        <w:tc>
          <w:tcPr>
            <w:tcW w:w="1134" w:type="dxa"/>
            <w:tcBorders>
              <w:top w:val="nil"/>
              <w:left w:val="nil"/>
              <w:bottom w:val="nil"/>
              <w:right w:val="nil"/>
            </w:tcBorders>
            <w:shd w:val="clear" w:color="auto" w:fill="auto"/>
            <w:noWrap/>
            <w:vAlign w:val="bottom"/>
            <w:hideMark/>
          </w:tcPr>
          <w:p w:rsidR="00887081" w:rsidRPr="00887081" w:rsidRDefault="00887081" w:rsidP="00887081">
            <w:pPr>
              <w:jc w:val="center"/>
              <w:rPr>
                <w:rFonts w:eastAsia="Times New Roman"/>
                <w:color w:val="000000"/>
                <w:sz w:val="22"/>
                <w:szCs w:val="22"/>
              </w:rPr>
            </w:pPr>
            <w:r w:rsidRPr="00887081">
              <w:rPr>
                <w:rFonts w:eastAsia="Times New Roman"/>
                <w:color w:val="000000"/>
                <w:sz w:val="22"/>
                <w:szCs w:val="22"/>
              </w:rPr>
              <w:t>0.119</w:t>
            </w:r>
          </w:p>
        </w:tc>
      </w:tr>
    </w:tbl>
    <w:p w:rsidR="00887081" w:rsidRDefault="00887081">
      <w:pPr>
        <w:rPr>
          <w:sz w:val="22"/>
          <w:szCs w:val="22"/>
        </w:rPr>
      </w:pPr>
      <w:r>
        <w:rPr>
          <w:sz w:val="22"/>
          <w:szCs w:val="22"/>
        </w:rPr>
        <w:t xml:space="preserve"> </w:t>
      </w:r>
      <w:r>
        <w:rPr>
          <w:sz w:val="22"/>
          <w:szCs w:val="22"/>
        </w:rPr>
        <w:br w:type="page"/>
      </w:r>
    </w:p>
    <w:p w:rsidR="00887081" w:rsidRDefault="00887081">
      <w:pPr>
        <w:rPr>
          <w:sz w:val="22"/>
          <w:szCs w:val="22"/>
        </w:rPr>
      </w:pPr>
    </w:p>
    <w:p w:rsidR="006D7812" w:rsidRPr="000C3D80" w:rsidRDefault="00B9018D" w:rsidP="00C373EF">
      <w:pPr>
        <w:jc w:val="both"/>
        <w:rPr>
          <w:b/>
          <w:sz w:val="22"/>
          <w:szCs w:val="22"/>
        </w:rPr>
      </w:pPr>
      <w:r w:rsidRPr="000C3D80">
        <w:rPr>
          <w:b/>
          <w:sz w:val="22"/>
          <w:szCs w:val="22"/>
        </w:rPr>
        <w:t>Panel C: Regressions of the Reaction Ratio and Likelihood of Reaction on Firm and Form Characteristics</w:t>
      </w:r>
    </w:p>
    <w:p w:rsidR="00B9018D" w:rsidRDefault="00B9018D" w:rsidP="006D7812">
      <w:pPr>
        <w:jc w:val="both"/>
        <w:rPr>
          <w:sz w:val="22"/>
          <w:szCs w:val="22"/>
        </w:rPr>
      </w:pPr>
    </w:p>
    <w:tbl>
      <w:tblPr>
        <w:tblW w:w="8139" w:type="dxa"/>
        <w:tblInd w:w="75" w:type="dxa"/>
        <w:tblLayout w:type="fixed"/>
        <w:tblCellMar>
          <w:left w:w="75" w:type="dxa"/>
          <w:right w:w="75" w:type="dxa"/>
        </w:tblCellMar>
        <w:tblLook w:val="0000"/>
      </w:tblPr>
      <w:tblGrid>
        <w:gridCol w:w="3062"/>
        <w:gridCol w:w="2235"/>
        <w:gridCol w:w="2842"/>
      </w:tblGrid>
      <w:tr w:rsidR="005010D0" w:rsidTr="00742D89">
        <w:tc>
          <w:tcPr>
            <w:tcW w:w="3062" w:type="dxa"/>
            <w:tcBorders>
              <w:top w:val="nil"/>
              <w:left w:val="nil"/>
              <w:bottom w:val="single" w:sz="6" w:space="0" w:color="auto"/>
              <w:right w:val="nil"/>
            </w:tcBorders>
          </w:tcPr>
          <w:p w:rsidR="005010D0" w:rsidRDefault="005010D0" w:rsidP="00742D89">
            <w:pPr>
              <w:widowControl w:val="0"/>
              <w:autoSpaceDE w:val="0"/>
              <w:autoSpaceDN w:val="0"/>
              <w:adjustRightInd w:val="0"/>
            </w:pPr>
          </w:p>
        </w:tc>
        <w:tc>
          <w:tcPr>
            <w:tcW w:w="2235" w:type="dxa"/>
            <w:tcBorders>
              <w:top w:val="nil"/>
              <w:left w:val="nil"/>
              <w:bottom w:val="single" w:sz="6" w:space="0" w:color="auto"/>
              <w:right w:val="nil"/>
            </w:tcBorders>
          </w:tcPr>
          <w:p w:rsidR="005010D0" w:rsidRDefault="005010D0" w:rsidP="00B962F0">
            <w:pPr>
              <w:widowControl w:val="0"/>
              <w:autoSpaceDE w:val="0"/>
              <w:autoSpaceDN w:val="0"/>
              <w:adjustRightInd w:val="0"/>
              <w:jc w:val="center"/>
            </w:pPr>
            <w:r>
              <w:t>Reaction</w:t>
            </w:r>
            <w:r w:rsidR="00106CC9">
              <w:t xml:space="preserve"> </w:t>
            </w:r>
            <w:r>
              <w:t>Ratio</w:t>
            </w:r>
          </w:p>
        </w:tc>
        <w:tc>
          <w:tcPr>
            <w:tcW w:w="2842" w:type="dxa"/>
            <w:tcBorders>
              <w:top w:val="nil"/>
              <w:left w:val="nil"/>
              <w:bottom w:val="single" w:sz="6" w:space="0" w:color="auto"/>
              <w:right w:val="nil"/>
            </w:tcBorders>
          </w:tcPr>
          <w:p w:rsidR="005010D0" w:rsidRDefault="005010D0" w:rsidP="00C373EF">
            <w:pPr>
              <w:widowControl w:val="0"/>
              <w:autoSpaceDE w:val="0"/>
              <w:autoSpaceDN w:val="0"/>
              <w:adjustRightInd w:val="0"/>
              <w:jc w:val="center"/>
            </w:pPr>
            <w:r>
              <w:t>Likelihood of Reaction</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Constant</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-0.666***</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rFonts w:eastAsia="Times New Roman"/>
                <w:color w:val="000000"/>
                <w:sz w:val="22"/>
                <w:szCs w:val="22"/>
              </w:rPr>
              <w:t>Number of Analysts Following</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-0.001*</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0.018***</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(0.061)</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Log Market Value of Equity</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0.056***</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0.282***</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Return on Assets</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0.053***</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0.176*</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(0.008)</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(0.088)</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Leverage</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0.053***</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0.202*</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(0.003)</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(0.087)</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Book-to-Market</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0.014*</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0.065</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(0.072)</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(0.121)</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Equity Return Volatility</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1.016***</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0.169</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(0.001)</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(0.897)</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1.01</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0.059***</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0.255***</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1.02</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0.019</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0.138**</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(0.288)</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(0.035)</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2.01</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0.134***</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0.575***</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2.03</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-0.029**</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-0.052</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(0.019)</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(0.247)</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2.04</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-0.064</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-0.104</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(0.220)</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(0.576)</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2.05</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0.162***</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0.692***</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2.06</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0.117***</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0.420***</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(0.005)</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(0.006)</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3.01</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-0.116***</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-0.168</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(0.122)</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3.02</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0.078***</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0.361***</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3.03</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-0.049</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-0.253**</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(0.102)</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(0.020)</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4.01</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-0.090***</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-0.243**</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(0.005)</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(0.039)</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4.02</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0.214***</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0.641***</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5.01</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-0.055</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-0.234</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(0.560)</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(0.484)</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5.02</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-0.013</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-0.019</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(0.101)</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(0.485)</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5.03</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0.047***</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0.165***</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5.04</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-0.122**</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-0.511**</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(0.029)</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(0.010)</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5.05</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0.023</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-0.074</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(0.642)</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(0.672)</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5.07</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-0.059***</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-0.117*</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(0.001)</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(0.072)</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lastRenderedPageBreak/>
              <w:t>Indicator 7.01</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0.130***</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0.439***</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Indicator 8.01</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0.016**</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0.165***</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(0.032)</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(0.000)</w:t>
            </w: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p>
        </w:tc>
      </w:tr>
      <w:tr w:rsidR="005010D0" w:rsidRPr="001B36F4" w:rsidTr="00742D89">
        <w:tc>
          <w:tcPr>
            <w:tcW w:w="3062" w:type="dxa"/>
            <w:tcBorders>
              <w:top w:val="nil"/>
              <w:left w:val="nil"/>
              <w:bottom w:val="nil"/>
              <w:right w:val="nil"/>
            </w:tcBorders>
          </w:tcPr>
          <w:p w:rsidR="005010D0" w:rsidRPr="001B36F4" w:rsidRDefault="005010D0" w:rsidP="00742D89">
            <w:pPr>
              <w:widowControl w:val="0"/>
              <w:autoSpaceDE w:val="0"/>
              <w:autoSpaceDN w:val="0"/>
              <w:adjustRightInd w:val="0"/>
              <w:rPr>
                <w:sz w:val="22"/>
                <w:szCs w:val="22"/>
              </w:rPr>
            </w:pPr>
            <w:r w:rsidRPr="001B36F4">
              <w:rPr>
                <w:sz w:val="22"/>
                <w:szCs w:val="22"/>
              </w:rPr>
              <w:t>Observations</w:t>
            </w:r>
          </w:p>
        </w:tc>
        <w:tc>
          <w:tcPr>
            <w:tcW w:w="2235"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65,390</w:t>
            </w:r>
          </w:p>
        </w:tc>
        <w:tc>
          <w:tcPr>
            <w:tcW w:w="2842" w:type="dxa"/>
            <w:tcBorders>
              <w:top w:val="nil"/>
              <w:left w:val="nil"/>
              <w:bottom w:val="nil"/>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63,633</w:t>
            </w:r>
          </w:p>
        </w:tc>
      </w:tr>
      <w:tr w:rsidR="005010D0" w:rsidRPr="001B36F4" w:rsidTr="00742D89">
        <w:tblPrEx>
          <w:tblBorders>
            <w:bottom w:val="single" w:sz="6" w:space="0" w:color="auto"/>
          </w:tblBorders>
        </w:tblPrEx>
        <w:tc>
          <w:tcPr>
            <w:tcW w:w="3062" w:type="dxa"/>
            <w:tcBorders>
              <w:top w:val="nil"/>
              <w:left w:val="nil"/>
              <w:bottom w:val="single" w:sz="6" w:space="0" w:color="auto"/>
              <w:right w:val="nil"/>
            </w:tcBorders>
          </w:tcPr>
          <w:p w:rsidR="005010D0" w:rsidRPr="001B36F4" w:rsidRDefault="005010D0" w:rsidP="00C373EF">
            <w:pPr>
              <w:widowControl w:val="0"/>
              <w:autoSpaceDE w:val="0"/>
              <w:autoSpaceDN w:val="0"/>
              <w:adjustRightInd w:val="0"/>
              <w:rPr>
                <w:sz w:val="22"/>
                <w:szCs w:val="22"/>
              </w:rPr>
            </w:pPr>
            <w:r w:rsidRPr="001B36F4">
              <w:rPr>
                <w:sz w:val="22"/>
                <w:szCs w:val="22"/>
              </w:rPr>
              <w:t xml:space="preserve">Number of </w:t>
            </w:r>
            <w:r w:rsidR="00C373EF">
              <w:rPr>
                <w:sz w:val="22"/>
                <w:szCs w:val="22"/>
              </w:rPr>
              <w:t>firms</w:t>
            </w:r>
          </w:p>
        </w:tc>
        <w:tc>
          <w:tcPr>
            <w:tcW w:w="2235" w:type="dxa"/>
            <w:tcBorders>
              <w:top w:val="nil"/>
              <w:left w:val="nil"/>
              <w:bottom w:val="single" w:sz="6" w:space="0" w:color="auto"/>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3,285</w:t>
            </w:r>
          </w:p>
        </w:tc>
        <w:tc>
          <w:tcPr>
            <w:tcW w:w="2842" w:type="dxa"/>
            <w:tcBorders>
              <w:top w:val="nil"/>
              <w:left w:val="nil"/>
              <w:bottom w:val="single" w:sz="6" w:space="0" w:color="auto"/>
              <w:right w:val="nil"/>
            </w:tcBorders>
          </w:tcPr>
          <w:p w:rsidR="005010D0" w:rsidRPr="001B36F4" w:rsidRDefault="005010D0" w:rsidP="00742D89">
            <w:pPr>
              <w:widowControl w:val="0"/>
              <w:autoSpaceDE w:val="0"/>
              <w:autoSpaceDN w:val="0"/>
              <w:adjustRightInd w:val="0"/>
              <w:jc w:val="center"/>
              <w:rPr>
                <w:sz w:val="22"/>
                <w:szCs w:val="22"/>
              </w:rPr>
            </w:pPr>
            <w:r w:rsidRPr="001B36F4">
              <w:rPr>
                <w:sz w:val="22"/>
                <w:szCs w:val="22"/>
              </w:rPr>
              <w:t>2,866</w:t>
            </w:r>
          </w:p>
        </w:tc>
      </w:tr>
    </w:tbl>
    <w:p w:rsidR="00B9018D" w:rsidRDefault="00742D89" w:rsidP="006D7812">
      <w:pPr>
        <w:jc w:val="both"/>
        <w:rPr>
          <w:sz w:val="20"/>
          <w:szCs w:val="20"/>
        </w:rPr>
      </w:pPr>
      <w:r>
        <w:rPr>
          <w:sz w:val="22"/>
          <w:szCs w:val="22"/>
        </w:rPr>
        <w:t>Panel A shows the mean reaction to 8-K forms which include earnings related information</w:t>
      </w:r>
      <w:r w:rsidR="000144D0">
        <w:rPr>
          <w:sz w:val="22"/>
          <w:szCs w:val="22"/>
        </w:rPr>
        <w:t xml:space="preserve">, </w:t>
      </w:r>
      <w:r w:rsidR="006D377E">
        <w:rPr>
          <w:sz w:val="22"/>
          <w:szCs w:val="22"/>
        </w:rPr>
        <w:t>labeled</w:t>
      </w:r>
      <w:r w:rsidR="000144D0">
        <w:rPr>
          <w:sz w:val="22"/>
          <w:szCs w:val="22"/>
        </w:rPr>
        <w:t xml:space="preserve"> Earnings </w:t>
      </w:r>
      <w:r w:rsidR="006D377E">
        <w:rPr>
          <w:sz w:val="22"/>
          <w:szCs w:val="22"/>
        </w:rPr>
        <w:t>Release</w:t>
      </w:r>
      <w:r w:rsidR="000144D0">
        <w:rPr>
          <w:sz w:val="22"/>
          <w:szCs w:val="22"/>
        </w:rPr>
        <w:t>, and to</w:t>
      </w:r>
      <w:r>
        <w:rPr>
          <w:sz w:val="22"/>
          <w:szCs w:val="22"/>
        </w:rPr>
        <w:t xml:space="preserve"> other 8-K forms</w:t>
      </w:r>
      <w:r w:rsidR="000144D0">
        <w:rPr>
          <w:sz w:val="22"/>
          <w:szCs w:val="22"/>
        </w:rPr>
        <w:t>, labeled No Earnings Info</w:t>
      </w:r>
      <w:r>
        <w:rPr>
          <w:sz w:val="22"/>
          <w:szCs w:val="22"/>
        </w:rPr>
        <w:t xml:space="preserve">. </w:t>
      </w:r>
      <w:r w:rsidR="000144D0">
        <w:rPr>
          <w:sz w:val="22"/>
          <w:szCs w:val="22"/>
        </w:rPr>
        <w:t xml:space="preserve">We define 8-K as Earnings Release if the form contains Item 2.02. </w:t>
      </w:r>
      <w:r>
        <w:rPr>
          <w:sz w:val="22"/>
          <w:szCs w:val="22"/>
        </w:rPr>
        <w:t xml:space="preserve">Reaction Ratio is computed as the ratio of the number of analysts who provided a revised forecast in the period from the event date to </w:t>
      </w:r>
      <w:r w:rsidR="00106CC9">
        <w:rPr>
          <w:sz w:val="22"/>
          <w:szCs w:val="22"/>
        </w:rPr>
        <w:t>three</w:t>
      </w:r>
      <w:r>
        <w:rPr>
          <w:sz w:val="22"/>
          <w:szCs w:val="22"/>
        </w:rPr>
        <w:t xml:space="preserve"> days after the filing date scaled by total number of analysts following the firm. </w:t>
      </w:r>
      <w:r w:rsidR="000144D0">
        <w:rPr>
          <w:sz w:val="22"/>
          <w:szCs w:val="22"/>
        </w:rPr>
        <w:t xml:space="preserve">Likelihood of Reaction is an indicator with 1 if any analyst following the firm provided a revised forecast in the period from the event date to </w:t>
      </w:r>
      <w:r w:rsidR="00106CC9">
        <w:rPr>
          <w:sz w:val="22"/>
          <w:szCs w:val="22"/>
        </w:rPr>
        <w:t>three</w:t>
      </w:r>
      <w:r w:rsidR="000144D0">
        <w:rPr>
          <w:sz w:val="22"/>
          <w:szCs w:val="22"/>
        </w:rPr>
        <w:t xml:space="preserve"> days after the filing date and </w:t>
      </w:r>
      <w:r w:rsidR="00106CC9">
        <w:rPr>
          <w:sz w:val="22"/>
          <w:szCs w:val="22"/>
        </w:rPr>
        <w:t xml:space="preserve">0 </w:t>
      </w:r>
      <w:r w:rsidR="000144D0">
        <w:rPr>
          <w:sz w:val="22"/>
          <w:szCs w:val="22"/>
        </w:rPr>
        <w:t>otherwise.</w:t>
      </w:r>
      <w:r w:rsidR="00E63528">
        <w:rPr>
          <w:sz w:val="22"/>
          <w:szCs w:val="22"/>
        </w:rPr>
        <w:t xml:space="preserve"> Panel B shows the Reaction Ratio and Likelihood of Reaction for each item. Panel C shows the regression results of the Reaction Ratio and Likelihood of Reaction on firm characteristics and Item </w:t>
      </w:r>
      <w:r w:rsidR="006D377E">
        <w:rPr>
          <w:sz w:val="22"/>
          <w:szCs w:val="22"/>
        </w:rPr>
        <w:t>indicator</w:t>
      </w:r>
      <w:r w:rsidR="00E63528">
        <w:rPr>
          <w:sz w:val="22"/>
          <w:szCs w:val="22"/>
        </w:rPr>
        <w:t xml:space="preserve"> variables. The regressions include firm a</w:t>
      </w:r>
      <w:r w:rsidR="00346766">
        <w:rPr>
          <w:sz w:val="22"/>
          <w:szCs w:val="22"/>
        </w:rPr>
        <w:t xml:space="preserve">nd year fixed effects and the standard errors correct for firm clustering. The Reaction Ratio (Likelihood of Reaction) regression is estimated using Tobit(Logit). </w:t>
      </w:r>
      <w:r w:rsidR="00346766" w:rsidRPr="009657FC">
        <w:rPr>
          <w:sz w:val="20"/>
          <w:szCs w:val="20"/>
        </w:rPr>
        <w:t>***, **,</w:t>
      </w:r>
      <w:r w:rsidR="00346766" w:rsidRPr="005A5424">
        <w:rPr>
          <w:sz w:val="18"/>
          <w:szCs w:val="18"/>
        </w:rPr>
        <w:t xml:space="preserve"> </w:t>
      </w:r>
      <w:r w:rsidR="00346766" w:rsidRPr="009657FC">
        <w:rPr>
          <w:sz w:val="20"/>
          <w:szCs w:val="20"/>
        </w:rPr>
        <w:t>and * denote two-tailed significance at the 1%, 5%, and 10% level, respectively.</w:t>
      </w:r>
    </w:p>
    <w:p w:rsidR="004D76CE" w:rsidRDefault="004D76CE" w:rsidP="006D7812">
      <w:pPr>
        <w:jc w:val="both"/>
        <w:rPr>
          <w:sz w:val="20"/>
          <w:szCs w:val="20"/>
        </w:rPr>
      </w:pPr>
    </w:p>
    <w:p w:rsidR="004D76CE" w:rsidRDefault="004D76CE">
      <w:pPr>
        <w:rPr>
          <w:sz w:val="20"/>
          <w:szCs w:val="20"/>
        </w:rPr>
      </w:pPr>
      <w:r>
        <w:rPr>
          <w:sz w:val="20"/>
          <w:szCs w:val="20"/>
        </w:rPr>
        <w:br w:type="page"/>
      </w:r>
    </w:p>
    <w:p w:rsidR="004D76CE" w:rsidRPr="000C3D80" w:rsidRDefault="004D76CE" w:rsidP="006D7812">
      <w:pPr>
        <w:jc w:val="both"/>
        <w:rPr>
          <w:b/>
          <w:sz w:val="22"/>
          <w:szCs w:val="22"/>
        </w:rPr>
      </w:pPr>
      <w:r w:rsidRPr="000C3D80">
        <w:rPr>
          <w:b/>
          <w:sz w:val="22"/>
          <w:szCs w:val="22"/>
        </w:rPr>
        <w:lastRenderedPageBreak/>
        <w:t>Table 3: Reaction to non-earnings Information in 8-K and the Accuracy of Earnings Forecast</w:t>
      </w:r>
    </w:p>
    <w:p w:rsidR="004D76CE" w:rsidRPr="00E54338" w:rsidRDefault="004D76CE" w:rsidP="006D7812">
      <w:pPr>
        <w:jc w:val="both"/>
        <w:rPr>
          <w:sz w:val="22"/>
          <w:szCs w:val="22"/>
        </w:rPr>
      </w:pPr>
    </w:p>
    <w:p w:rsidR="004D76CE" w:rsidRPr="000C3D80" w:rsidRDefault="004D76CE" w:rsidP="006D7812">
      <w:pPr>
        <w:jc w:val="both"/>
        <w:rPr>
          <w:b/>
          <w:sz w:val="22"/>
          <w:szCs w:val="22"/>
        </w:rPr>
      </w:pPr>
      <w:r w:rsidRPr="000C3D80">
        <w:rPr>
          <w:b/>
          <w:sz w:val="22"/>
          <w:szCs w:val="22"/>
        </w:rPr>
        <w:t>Panel A: Univariate Analysis</w:t>
      </w:r>
    </w:p>
    <w:p w:rsidR="00E54338" w:rsidRPr="000C3D80" w:rsidRDefault="00E54338" w:rsidP="006D7812">
      <w:pPr>
        <w:jc w:val="both"/>
        <w:rPr>
          <w:b/>
          <w:sz w:val="22"/>
          <w:szCs w:val="22"/>
        </w:rPr>
      </w:pPr>
    </w:p>
    <w:tbl>
      <w:tblPr>
        <w:tblW w:w="6664" w:type="dxa"/>
        <w:tblInd w:w="108" w:type="dxa"/>
        <w:tblLook w:val="04A0"/>
      </w:tblPr>
      <w:tblGrid>
        <w:gridCol w:w="1676"/>
        <w:gridCol w:w="1976"/>
        <w:gridCol w:w="1676"/>
        <w:gridCol w:w="1336"/>
      </w:tblGrid>
      <w:tr w:rsidR="00E54338" w:rsidRPr="00E54338" w:rsidTr="00E54338">
        <w:trPr>
          <w:trHeight w:val="300"/>
        </w:trPr>
        <w:tc>
          <w:tcPr>
            <w:tcW w:w="1676" w:type="dxa"/>
            <w:tcBorders>
              <w:top w:val="nil"/>
              <w:left w:val="nil"/>
              <w:bottom w:val="single" w:sz="4" w:space="0" w:color="auto"/>
              <w:right w:val="nil"/>
            </w:tcBorders>
            <w:shd w:val="clear" w:color="auto" w:fill="auto"/>
            <w:noWrap/>
            <w:vAlign w:val="bottom"/>
            <w:hideMark/>
          </w:tcPr>
          <w:p w:rsidR="00E54338" w:rsidRPr="00E54338" w:rsidRDefault="00E54338" w:rsidP="00E54338">
            <w:pPr>
              <w:rPr>
                <w:rFonts w:eastAsia="Times New Roman"/>
                <w:color w:val="000000"/>
                <w:sz w:val="22"/>
                <w:szCs w:val="22"/>
              </w:rPr>
            </w:pPr>
            <w:r>
              <w:rPr>
                <w:rFonts w:eastAsia="Times New Roman"/>
                <w:color w:val="000000"/>
                <w:sz w:val="22"/>
                <w:szCs w:val="22"/>
              </w:rPr>
              <w:t>Months Prior to Fiscal Year End</w:t>
            </w:r>
          </w:p>
        </w:tc>
        <w:tc>
          <w:tcPr>
            <w:tcW w:w="1976" w:type="dxa"/>
            <w:tcBorders>
              <w:top w:val="nil"/>
              <w:left w:val="nil"/>
              <w:bottom w:val="single" w:sz="4" w:space="0" w:color="auto"/>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Pr>
                <w:rFonts w:eastAsia="Times New Roman"/>
                <w:color w:val="000000"/>
                <w:sz w:val="22"/>
                <w:szCs w:val="22"/>
              </w:rPr>
              <w:t>No Reaction</w:t>
            </w:r>
          </w:p>
        </w:tc>
        <w:tc>
          <w:tcPr>
            <w:tcW w:w="1676" w:type="dxa"/>
            <w:tcBorders>
              <w:top w:val="nil"/>
              <w:left w:val="nil"/>
              <w:bottom w:val="single" w:sz="4" w:space="0" w:color="auto"/>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Pr>
                <w:rFonts w:eastAsia="Times New Roman"/>
                <w:color w:val="000000"/>
                <w:sz w:val="22"/>
                <w:szCs w:val="22"/>
              </w:rPr>
              <w:t>Reaction</w:t>
            </w:r>
          </w:p>
        </w:tc>
        <w:tc>
          <w:tcPr>
            <w:tcW w:w="1336" w:type="dxa"/>
            <w:tcBorders>
              <w:top w:val="nil"/>
              <w:left w:val="nil"/>
              <w:bottom w:val="single" w:sz="4" w:space="0" w:color="auto"/>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Difference</w:t>
            </w:r>
          </w:p>
        </w:tc>
      </w:tr>
      <w:tr w:rsidR="00E54338" w:rsidRPr="00E54338" w:rsidTr="00E54338">
        <w:trPr>
          <w:trHeight w:val="300"/>
        </w:trPr>
        <w:tc>
          <w:tcPr>
            <w:tcW w:w="1676" w:type="dxa"/>
            <w:tcBorders>
              <w:top w:val="single" w:sz="4" w:space="0" w:color="auto"/>
              <w:left w:val="nil"/>
              <w:bottom w:val="nil"/>
              <w:right w:val="nil"/>
            </w:tcBorders>
            <w:shd w:val="clear" w:color="auto" w:fill="auto"/>
            <w:noWrap/>
            <w:vAlign w:val="bottom"/>
            <w:hideMark/>
          </w:tcPr>
          <w:p w:rsidR="00E54338" w:rsidRPr="00E54338" w:rsidRDefault="00E54338" w:rsidP="00E54338">
            <w:pPr>
              <w:rPr>
                <w:rFonts w:eastAsia="Times New Roman"/>
                <w:color w:val="000000"/>
                <w:sz w:val="22"/>
                <w:szCs w:val="22"/>
              </w:rPr>
            </w:pPr>
            <w:r w:rsidRPr="00E54338">
              <w:rPr>
                <w:rFonts w:eastAsia="Times New Roman"/>
                <w:color w:val="000000"/>
                <w:sz w:val="22"/>
                <w:szCs w:val="22"/>
              </w:rPr>
              <w:t>1</w:t>
            </w:r>
          </w:p>
        </w:tc>
        <w:tc>
          <w:tcPr>
            <w:tcW w:w="1976" w:type="dxa"/>
            <w:tcBorders>
              <w:top w:val="single" w:sz="4" w:space="0" w:color="auto"/>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0.026</w:t>
            </w:r>
          </w:p>
        </w:tc>
        <w:tc>
          <w:tcPr>
            <w:tcW w:w="1676" w:type="dxa"/>
            <w:tcBorders>
              <w:top w:val="single" w:sz="4" w:space="0" w:color="auto"/>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0.014</w:t>
            </w:r>
          </w:p>
        </w:tc>
        <w:tc>
          <w:tcPr>
            <w:tcW w:w="1336" w:type="dxa"/>
            <w:tcBorders>
              <w:top w:val="single" w:sz="4" w:space="0" w:color="auto"/>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0.012</w:t>
            </w:r>
            <w:r>
              <w:rPr>
                <w:rFonts w:eastAsia="Times New Roman"/>
                <w:color w:val="000000"/>
                <w:sz w:val="22"/>
                <w:szCs w:val="22"/>
              </w:rPr>
              <w:t>***</w:t>
            </w:r>
          </w:p>
        </w:tc>
      </w:tr>
      <w:tr w:rsidR="00E54338" w:rsidRPr="00E54338" w:rsidTr="00E54338">
        <w:trPr>
          <w:trHeight w:val="300"/>
        </w:trPr>
        <w:tc>
          <w:tcPr>
            <w:tcW w:w="1676" w:type="dxa"/>
            <w:tcBorders>
              <w:top w:val="nil"/>
              <w:left w:val="nil"/>
              <w:bottom w:val="nil"/>
              <w:right w:val="nil"/>
            </w:tcBorders>
            <w:shd w:val="clear" w:color="auto" w:fill="auto"/>
            <w:noWrap/>
            <w:vAlign w:val="bottom"/>
            <w:hideMark/>
          </w:tcPr>
          <w:p w:rsidR="00E54338" w:rsidRPr="00E54338" w:rsidRDefault="00E54338" w:rsidP="00E54338">
            <w:pPr>
              <w:rPr>
                <w:rFonts w:eastAsia="Times New Roman"/>
                <w:color w:val="000000"/>
                <w:sz w:val="22"/>
                <w:szCs w:val="22"/>
              </w:rPr>
            </w:pPr>
            <w:r w:rsidRPr="00E54338">
              <w:rPr>
                <w:rFonts w:eastAsia="Times New Roman"/>
                <w:color w:val="000000"/>
                <w:sz w:val="22"/>
                <w:szCs w:val="22"/>
              </w:rPr>
              <w:t>2</w:t>
            </w:r>
          </w:p>
        </w:tc>
        <w:tc>
          <w:tcPr>
            <w:tcW w:w="19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0.024</w:t>
            </w:r>
          </w:p>
        </w:tc>
        <w:tc>
          <w:tcPr>
            <w:tcW w:w="16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0.018</w:t>
            </w:r>
          </w:p>
        </w:tc>
        <w:tc>
          <w:tcPr>
            <w:tcW w:w="133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0.006</w:t>
            </w:r>
            <w:r>
              <w:rPr>
                <w:rFonts w:eastAsia="Times New Roman"/>
                <w:color w:val="000000"/>
                <w:sz w:val="22"/>
                <w:szCs w:val="22"/>
              </w:rPr>
              <w:t>***</w:t>
            </w:r>
          </w:p>
        </w:tc>
      </w:tr>
      <w:tr w:rsidR="00E54338" w:rsidRPr="00E54338" w:rsidTr="00E54338">
        <w:trPr>
          <w:trHeight w:val="300"/>
        </w:trPr>
        <w:tc>
          <w:tcPr>
            <w:tcW w:w="1676" w:type="dxa"/>
            <w:tcBorders>
              <w:top w:val="nil"/>
              <w:left w:val="nil"/>
              <w:bottom w:val="nil"/>
              <w:right w:val="nil"/>
            </w:tcBorders>
            <w:shd w:val="clear" w:color="auto" w:fill="auto"/>
            <w:noWrap/>
            <w:vAlign w:val="bottom"/>
            <w:hideMark/>
          </w:tcPr>
          <w:p w:rsidR="00E54338" w:rsidRPr="00E54338" w:rsidRDefault="00E54338" w:rsidP="00E54338">
            <w:pPr>
              <w:rPr>
                <w:rFonts w:eastAsia="Times New Roman"/>
                <w:color w:val="000000"/>
                <w:sz w:val="22"/>
                <w:szCs w:val="22"/>
              </w:rPr>
            </w:pPr>
            <w:r w:rsidRPr="00E54338">
              <w:rPr>
                <w:rFonts w:eastAsia="Times New Roman"/>
                <w:color w:val="000000"/>
                <w:sz w:val="22"/>
                <w:szCs w:val="22"/>
              </w:rPr>
              <w:t>3</w:t>
            </w:r>
          </w:p>
        </w:tc>
        <w:tc>
          <w:tcPr>
            <w:tcW w:w="19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0.030</w:t>
            </w:r>
          </w:p>
        </w:tc>
        <w:tc>
          <w:tcPr>
            <w:tcW w:w="16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0.017</w:t>
            </w:r>
          </w:p>
        </w:tc>
        <w:tc>
          <w:tcPr>
            <w:tcW w:w="133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0.012</w:t>
            </w:r>
            <w:r>
              <w:rPr>
                <w:rFonts w:eastAsia="Times New Roman"/>
                <w:color w:val="000000"/>
                <w:sz w:val="22"/>
                <w:szCs w:val="22"/>
              </w:rPr>
              <w:t>***</w:t>
            </w:r>
          </w:p>
        </w:tc>
      </w:tr>
      <w:tr w:rsidR="00E54338" w:rsidRPr="00E54338" w:rsidTr="00E54338">
        <w:trPr>
          <w:trHeight w:val="300"/>
        </w:trPr>
        <w:tc>
          <w:tcPr>
            <w:tcW w:w="1676" w:type="dxa"/>
            <w:tcBorders>
              <w:top w:val="nil"/>
              <w:left w:val="nil"/>
              <w:bottom w:val="nil"/>
              <w:right w:val="nil"/>
            </w:tcBorders>
            <w:shd w:val="clear" w:color="auto" w:fill="auto"/>
            <w:noWrap/>
            <w:vAlign w:val="bottom"/>
            <w:hideMark/>
          </w:tcPr>
          <w:p w:rsidR="00E54338" w:rsidRPr="00E54338" w:rsidRDefault="00E54338" w:rsidP="00E54338">
            <w:pPr>
              <w:rPr>
                <w:rFonts w:eastAsia="Times New Roman"/>
                <w:color w:val="000000"/>
                <w:sz w:val="22"/>
                <w:szCs w:val="22"/>
              </w:rPr>
            </w:pPr>
            <w:r w:rsidRPr="00E54338">
              <w:rPr>
                <w:rFonts w:eastAsia="Times New Roman"/>
                <w:color w:val="000000"/>
                <w:sz w:val="22"/>
                <w:szCs w:val="22"/>
              </w:rPr>
              <w:t>4</w:t>
            </w:r>
          </w:p>
        </w:tc>
        <w:tc>
          <w:tcPr>
            <w:tcW w:w="19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0.034</w:t>
            </w:r>
          </w:p>
        </w:tc>
        <w:tc>
          <w:tcPr>
            <w:tcW w:w="16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0.023</w:t>
            </w:r>
          </w:p>
        </w:tc>
        <w:tc>
          <w:tcPr>
            <w:tcW w:w="133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0.011</w:t>
            </w:r>
            <w:r>
              <w:rPr>
                <w:rFonts w:eastAsia="Times New Roman"/>
                <w:color w:val="000000"/>
                <w:sz w:val="22"/>
                <w:szCs w:val="22"/>
              </w:rPr>
              <w:t>***</w:t>
            </w:r>
          </w:p>
        </w:tc>
      </w:tr>
      <w:tr w:rsidR="00E54338" w:rsidRPr="00E54338" w:rsidTr="00E54338">
        <w:trPr>
          <w:trHeight w:val="300"/>
        </w:trPr>
        <w:tc>
          <w:tcPr>
            <w:tcW w:w="1676" w:type="dxa"/>
            <w:tcBorders>
              <w:top w:val="nil"/>
              <w:left w:val="nil"/>
              <w:bottom w:val="nil"/>
              <w:right w:val="nil"/>
            </w:tcBorders>
            <w:shd w:val="clear" w:color="auto" w:fill="auto"/>
            <w:noWrap/>
            <w:vAlign w:val="bottom"/>
            <w:hideMark/>
          </w:tcPr>
          <w:p w:rsidR="00E54338" w:rsidRPr="00E54338" w:rsidRDefault="00E54338" w:rsidP="00E54338">
            <w:pPr>
              <w:rPr>
                <w:rFonts w:eastAsia="Times New Roman"/>
                <w:color w:val="000000"/>
                <w:sz w:val="22"/>
                <w:szCs w:val="22"/>
              </w:rPr>
            </w:pPr>
            <w:r w:rsidRPr="00E54338">
              <w:rPr>
                <w:rFonts w:eastAsia="Times New Roman"/>
                <w:color w:val="000000"/>
                <w:sz w:val="22"/>
                <w:szCs w:val="22"/>
              </w:rPr>
              <w:t>5</w:t>
            </w:r>
          </w:p>
        </w:tc>
        <w:tc>
          <w:tcPr>
            <w:tcW w:w="19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0.032</w:t>
            </w:r>
          </w:p>
        </w:tc>
        <w:tc>
          <w:tcPr>
            <w:tcW w:w="16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0.021</w:t>
            </w:r>
          </w:p>
        </w:tc>
        <w:tc>
          <w:tcPr>
            <w:tcW w:w="133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0.011</w:t>
            </w:r>
            <w:r>
              <w:rPr>
                <w:rFonts w:eastAsia="Times New Roman"/>
                <w:color w:val="000000"/>
                <w:sz w:val="22"/>
                <w:szCs w:val="22"/>
              </w:rPr>
              <w:t>***</w:t>
            </w:r>
          </w:p>
        </w:tc>
      </w:tr>
      <w:tr w:rsidR="00E54338" w:rsidRPr="00E54338" w:rsidTr="00E54338">
        <w:trPr>
          <w:trHeight w:val="300"/>
        </w:trPr>
        <w:tc>
          <w:tcPr>
            <w:tcW w:w="1676" w:type="dxa"/>
            <w:tcBorders>
              <w:top w:val="nil"/>
              <w:left w:val="nil"/>
              <w:bottom w:val="nil"/>
              <w:right w:val="nil"/>
            </w:tcBorders>
            <w:shd w:val="clear" w:color="auto" w:fill="auto"/>
            <w:noWrap/>
            <w:vAlign w:val="bottom"/>
            <w:hideMark/>
          </w:tcPr>
          <w:p w:rsidR="00E54338" w:rsidRPr="00E54338" w:rsidRDefault="00E54338" w:rsidP="00E54338">
            <w:pPr>
              <w:rPr>
                <w:rFonts w:eastAsia="Times New Roman"/>
                <w:color w:val="000000"/>
                <w:sz w:val="22"/>
                <w:szCs w:val="22"/>
              </w:rPr>
            </w:pPr>
            <w:r w:rsidRPr="00E54338">
              <w:rPr>
                <w:rFonts w:eastAsia="Times New Roman"/>
                <w:color w:val="000000"/>
                <w:sz w:val="22"/>
                <w:szCs w:val="22"/>
              </w:rPr>
              <w:t>6</w:t>
            </w:r>
          </w:p>
        </w:tc>
        <w:tc>
          <w:tcPr>
            <w:tcW w:w="19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0.032</w:t>
            </w:r>
          </w:p>
        </w:tc>
        <w:tc>
          <w:tcPr>
            <w:tcW w:w="16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0.025</w:t>
            </w:r>
          </w:p>
        </w:tc>
        <w:tc>
          <w:tcPr>
            <w:tcW w:w="133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0.007</w:t>
            </w:r>
            <w:r>
              <w:rPr>
                <w:rFonts w:eastAsia="Times New Roman"/>
                <w:color w:val="000000"/>
                <w:sz w:val="22"/>
                <w:szCs w:val="22"/>
              </w:rPr>
              <w:t>***</w:t>
            </w:r>
          </w:p>
        </w:tc>
      </w:tr>
      <w:tr w:rsidR="00E54338" w:rsidRPr="00E54338" w:rsidTr="00E54338">
        <w:trPr>
          <w:trHeight w:val="300"/>
        </w:trPr>
        <w:tc>
          <w:tcPr>
            <w:tcW w:w="1676" w:type="dxa"/>
            <w:tcBorders>
              <w:top w:val="nil"/>
              <w:left w:val="nil"/>
              <w:bottom w:val="nil"/>
              <w:right w:val="nil"/>
            </w:tcBorders>
            <w:shd w:val="clear" w:color="auto" w:fill="auto"/>
            <w:noWrap/>
            <w:vAlign w:val="bottom"/>
            <w:hideMark/>
          </w:tcPr>
          <w:p w:rsidR="00E54338" w:rsidRPr="00E54338" w:rsidRDefault="00E54338" w:rsidP="00E54338">
            <w:pPr>
              <w:rPr>
                <w:rFonts w:eastAsia="Times New Roman"/>
                <w:color w:val="000000"/>
                <w:sz w:val="22"/>
                <w:szCs w:val="22"/>
              </w:rPr>
            </w:pPr>
            <w:r w:rsidRPr="00E54338">
              <w:rPr>
                <w:rFonts w:eastAsia="Times New Roman"/>
                <w:color w:val="000000"/>
                <w:sz w:val="22"/>
                <w:szCs w:val="22"/>
              </w:rPr>
              <w:t>7</w:t>
            </w:r>
          </w:p>
        </w:tc>
        <w:tc>
          <w:tcPr>
            <w:tcW w:w="19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0.037</w:t>
            </w:r>
          </w:p>
        </w:tc>
        <w:tc>
          <w:tcPr>
            <w:tcW w:w="16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0.025</w:t>
            </w:r>
          </w:p>
        </w:tc>
        <w:tc>
          <w:tcPr>
            <w:tcW w:w="133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0.012</w:t>
            </w:r>
            <w:r>
              <w:rPr>
                <w:rFonts w:eastAsia="Times New Roman"/>
                <w:color w:val="000000"/>
                <w:sz w:val="22"/>
                <w:szCs w:val="22"/>
              </w:rPr>
              <w:t>***</w:t>
            </w:r>
          </w:p>
        </w:tc>
      </w:tr>
      <w:tr w:rsidR="00E54338" w:rsidRPr="00E54338" w:rsidTr="00E54338">
        <w:trPr>
          <w:trHeight w:val="300"/>
        </w:trPr>
        <w:tc>
          <w:tcPr>
            <w:tcW w:w="1676" w:type="dxa"/>
            <w:tcBorders>
              <w:top w:val="nil"/>
              <w:left w:val="nil"/>
              <w:bottom w:val="nil"/>
              <w:right w:val="nil"/>
            </w:tcBorders>
            <w:shd w:val="clear" w:color="auto" w:fill="auto"/>
            <w:noWrap/>
            <w:vAlign w:val="bottom"/>
            <w:hideMark/>
          </w:tcPr>
          <w:p w:rsidR="00E54338" w:rsidRPr="00E54338" w:rsidRDefault="00E54338" w:rsidP="00E54338">
            <w:pPr>
              <w:rPr>
                <w:rFonts w:eastAsia="Times New Roman"/>
                <w:color w:val="000000"/>
                <w:sz w:val="22"/>
                <w:szCs w:val="22"/>
              </w:rPr>
            </w:pPr>
            <w:r w:rsidRPr="00E54338">
              <w:rPr>
                <w:rFonts w:eastAsia="Times New Roman"/>
                <w:color w:val="000000"/>
                <w:sz w:val="22"/>
                <w:szCs w:val="22"/>
              </w:rPr>
              <w:t>8</w:t>
            </w:r>
          </w:p>
        </w:tc>
        <w:tc>
          <w:tcPr>
            <w:tcW w:w="19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0.037</w:t>
            </w:r>
          </w:p>
        </w:tc>
        <w:tc>
          <w:tcPr>
            <w:tcW w:w="16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0.030</w:t>
            </w:r>
          </w:p>
        </w:tc>
        <w:tc>
          <w:tcPr>
            <w:tcW w:w="133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0.008</w:t>
            </w:r>
            <w:r>
              <w:rPr>
                <w:rFonts w:eastAsia="Times New Roman"/>
                <w:color w:val="000000"/>
                <w:sz w:val="22"/>
                <w:szCs w:val="22"/>
              </w:rPr>
              <w:t>***</w:t>
            </w:r>
          </w:p>
        </w:tc>
      </w:tr>
      <w:tr w:rsidR="00E54338" w:rsidRPr="00E54338" w:rsidTr="00E54338">
        <w:trPr>
          <w:trHeight w:val="300"/>
        </w:trPr>
        <w:tc>
          <w:tcPr>
            <w:tcW w:w="1676" w:type="dxa"/>
            <w:tcBorders>
              <w:top w:val="nil"/>
              <w:left w:val="nil"/>
              <w:bottom w:val="nil"/>
              <w:right w:val="nil"/>
            </w:tcBorders>
            <w:shd w:val="clear" w:color="auto" w:fill="auto"/>
            <w:noWrap/>
            <w:vAlign w:val="bottom"/>
            <w:hideMark/>
          </w:tcPr>
          <w:p w:rsidR="00E54338" w:rsidRPr="00E54338" w:rsidRDefault="00E54338" w:rsidP="00E54338">
            <w:pPr>
              <w:rPr>
                <w:rFonts w:eastAsia="Times New Roman"/>
                <w:color w:val="000000"/>
                <w:sz w:val="22"/>
                <w:szCs w:val="22"/>
              </w:rPr>
            </w:pPr>
            <w:r w:rsidRPr="00E54338">
              <w:rPr>
                <w:rFonts w:eastAsia="Times New Roman"/>
                <w:color w:val="000000"/>
                <w:sz w:val="22"/>
                <w:szCs w:val="22"/>
              </w:rPr>
              <w:t>9</w:t>
            </w:r>
          </w:p>
        </w:tc>
        <w:tc>
          <w:tcPr>
            <w:tcW w:w="19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0.034</w:t>
            </w:r>
          </w:p>
        </w:tc>
        <w:tc>
          <w:tcPr>
            <w:tcW w:w="16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0.032</w:t>
            </w:r>
          </w:p>
        </w:tc>
        <w:tc>
          <w:tcPr>
            <w:tcW w:w="133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0.003</w:t>
            </w:r>
            <w:r>
              <w:rPr>
                <w:rFonts w:eastAsia="Times New Roman"/>
                <w:color w:val="000000"/>
                <w:sz w:val="22"/>
                <w:szCs w:val="22"/>
              </w:rPr>
              <w:t>**</w:t>
            </w:r>
          </w:p>
        </w:tc>
      </w:tr>
      <w:tr w:rsidR="00E54338" w:rsidRPr="00E54338" w:rsidTr="00E54338">
        <w:trPr>
          <w:trHeight w:val="300"/>
        </w:trPr>
        <w:tc>
          <w:tcPr>
            <w:tcW w:w="1676" w:type="dxa"/>
            <w:tcBorders>
              <w:top w:val="nil"/>
              <w:left w:val="nil"/>
              <w:bottom w:val="nil"/>
              <w:right w:val="nil"/>
            </w:tcBorders>
            <w:shd w:val="clear" w:color="auto" w:fill="auto"/>
            <w:noWrap/>
            <w:vAlign w:val="bottom"/>
            <w:hideMark/>
          </w:tcPr>
          <w:p w:rsidR="00E54338" w:rsidRPr="00E54338" w:rsidRDefault="00E54338" w:rsidP="00E54338">
            <w:pPr>
              <w:rPr>
                <w:rFonts w:eastAsia="Times New Roman"/>
                <w:color w:val="000000"/>
                <w:sz w:val="22"/>
                <w:szCs w:val="22"/>
              </w:rPr>
            </w:pPr>
            <w:r w:rsidRPr="00E54338">
              <w:rPr>
                <w:rFonts w:eastAsia="Times New Roman"/>
                <w:color w:val="000000"/>
                <w:sz w:val="22"/>
                <w:szCs w:val="22"/>
              </w:rPr>
              <w:t>10</w:t>
            </w:r>
          </w:p>
        </w:tc>
        <w:tc>
          <w:tcPr>
            <w:tcW w:w="19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0.035</w:t>
            </w:r>
          </w:p>
        </w:tc>
        <w:tc>
          <w:tcPr>
            <w:tcW w:w="167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0.027</w:t>
            </w:r>
          </w:p>
        </w:tc>
        <w:tc>
          <w:tcPr>
            <w:tcW w:w="1336" w:type="dxa"/>
            <w:tcBorders>
              <w:top w:val="nil"/>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0.007</w:t>
            </w:r>
            <w:r>
              <w:rPr>
                <w:rFonts w:eastAsia="Times New Roman"/>
                <w:color w:val="000000"/>
                <w:sz w:val="22"/>
                <w:szCs w:val="22"/>
              </w:rPr>
              <w:t>***</w:t>
            </w:r>
          </w:p>
        </w:tc>
      </w:tr>
      <w:tr w:rsidR="00E54338" w:rsidRPr="00E54338" w:rsidTr="00E54338">
        <w:trPr>
          <w:trHeight w:val="300"/>
        </w:trPr>
        <w:tc>
          <w:tcPr>
            <w:tcW w:w="1676" w:type="dxa"/>
            <w:tcBorders>
              <w:top w:val="nil"/>
              <w:left w:val="nil"/>
              <w:right w:val="nil"/>
            </w:tcBorders>
            <w:shd w:val="clear" w:color="auto" w:fill="auto"/>
            <w:noWrap/>
            <w:vAlign w:val="bottom"/>
            <w:hideMark/>
          </w:tcPr>
          <w:p w:rsidR="00E54338" w:rsidRPr="00E54338" w:rsidRDefault="00E54338" w:rsidP="00E54338">
            <w:pPr>
              <w:rPr>
                <w:rFonts w:eastAsia="Times New Roman"/>
                <w:color w:val="000000"/>
                <w:sz w:val="22"/>
                <w:szCs w:val="22"/>
              </w:rPr>
            </w:pPr>
            <w:r w:rsidRPr="00E54338">
              <w:rPr>
                <w:rFonts w:eastAsia="Times New Roman"/>
                <w:color w:val="000000"/>
                <w:sz w:val="22"/>
                <w:szCs w:val="22"/>
              </w:rPr>
              <w:t>11</w:t>
            </w:r>
          </w:p>
        </w:tc>
        <w:tc>
          <w:tcPr>
            <w:tcW w:w="1976" w:type="dxa"/>
            <w:tcBorders>
              <w:top w:val="nil"/>
              <w:left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0.038</w:t>
            </w:r>
          </w:p>
        </w:tc>
        <w:tc>
          <w:tcPr>
            <w:tcW w:w="1676" w:type="dxa"/>
            <w:tcBorders>
              <w:top w:val="nil"/>
              <w:left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0.036</w:t>
            </w:r>
          </w:p>
        </w:tc>
        <w:tc>
          <w:tcPr>
            <w:tcW w:w="1336" w:type="dxa"/>
            <w:tcBorders>
              <w:top w:val="nil"/>
              <w:left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0.002</w:t>
            </w:r>
            <w:r>
              <w:rPr>
                <w:rFonts w:eastAsia="Times New Roman"/>
                <w:color w:val="000000"/>
                <w:sz w:val="22"/>
                <w:szCs w:val="22"/>
              </w:rPr>
              <w:t>**</w:t>
            </w:r>
          </w:p>
        </w:tc>
      </w:tr>
      <w:tr w:rsidR="00E54338" w:rsidRPr="00E54338" w:rsidTr="00E54338">
        <w:trPr>
          <w:trHeight w:val="300"/>
        </w:trPr>
        <w:tc>
          <w:tcPr>
            <w:tcW w:w="1676" w:type="dxa"/>
            <w:tcBorders>
              <w:top w:val="nil"/>
              <w:left w:val="nil"/>
              <w:bottom w:val="single" w:sz="4" w:space="0" w:color="auto"/>
              <w:right w:val="nil"/>
            </w:tcBorders>
            <w:shd w:val="clear" w:color="auto" w:fill="auto"/>
            <w:noWrap/>
            <w:vAlign w:val="bottom"/>
            <w:hideMark/>
          </w:tcPr>
          <w:p w:rsidR="00E54338" w:rsidRPr="00E54338" w:rsidRDefault="00E54338" w:rsidP="00E54338">
            <w:pPr>
              <w:rPr>
                <w:rFonts w:eastAsia="Times New Roman"/>
                <w:color w:val="000000"/>
                <w:sz w:val="22"/>
                <w:szCs w:val="22"/>
              </w:rPr>
            </w:pPr>
            <w:r w:rsidRPr="00E54338">
              <w:rPr>
                <w:rFonts w:eastAsia="Times New Roman"/>
                <w:color w:val="000000"/>
                <w:sz w:val="22"/>
                <w:szCs w:val="22"/>
              </w:rPr>
              <w:t>12</w:t>
            </w:r>
          </w:p>
        </w:tc>
        <w:tc>
          <w:tcPr>
            <w:tcW w:w="1976" w:type="dxa"/>
            <w:tcBorders>
              <w:top w:val="nil"/>
              <w:left w:val="nil"/>
              <w:bottom w:val="single" w:sz="4" w:space="0" w:color="auto"/>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0.029</w:t>
            </w:r>
          </w:p>
        </w:tc>
        <w:tc>
          <w:tcPr>
            <w:tcW w:w="1676" w:type="dxa"/>
            <w:tcBorders>
              <w:top w:val="nil"/>
              <w:left w:val="nil"/>
              <w:bottom w:val="single" w:sz="4" w:space="0" w:color="auto"/>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0.030</w:t>
            </w:r>
          </w:p>
        </w:tc>
        <w:tc>
          <w:tcPr>
            <w:tcW w:w="1336" w:type="dxa"/>
            <w:tcBorders>
              <w:top w:val="nil"/>
              <w:left w:val="nil"/>
              <w:bottom w:val="single" w:sz="4" w:space="0" w:color="auto"/>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-0.001</w:t>
            </w:r>
          </w:p>
        </w:tc>
      </w:tr>
      <w:tr w:rsidR="00E54338" w:rsidRPr="00E54338" w:rsidTr="00E54338">
        <w:trPr>
          <w:trHeight w:val="300"/>
        </w:trPr>
        <w:tc>
          <w:tcPr>
            <w:tcW w:w="1676" w:type="dxa"/>
            <w:tcBorders>
              <w:top w:val="single" w:sz="4" w:space="0" w:color="auto"/>
              <w:left w:val="nil"/>
              <w:bottom w:val="nil"/>
              <w:right w:val="nil"/>
            </w:tcBorders>
            <w:shd w:val="clear" w:color="auto" w:fill="auto"/>
            <w:noWrap/>
            <w:vAlign w:val="bottom"/>
            <w:hideMark/>
          </w:tcPr>
          <w:p w:rsidR="00E54338" w:rsidRPr="00E54338" w:rsidRDefault="00E54338" w:rsidP="00E54338">
            <w:pPr>
              <w:rPr>
                <w:rFonts w:eastAsia="Times New Roman"/>
                <w:color w:val="000000"/>
                <w:sz w:val="22"/>
                <w:szCs w:val="22"/>
              </w:rPr>
            </w:pPr>
            <w:r w:rsidRPr="00E54338">
              <w:rPr>
                <w:rFonts w:eastAsia="Times New Roman"/>
                <w:color w:val="000000"/>
                <w:sz w:val="22"/>
                <w:szCs w:val="22"/>
              </w:rPr>
              <w:t>Overall</w:t>
            </w:r>
          </w:p>
        </w:tc>
        <w:tc>
          <w:tcPr>
            <w:tcW w:w="1976" w:type="dxa"/>
            <w:tcBorders>
              <w:top w:val="single" w:sz="4" w:space="0" w:color="auto"/>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0.033</w:t>
            </w:r>
          </w:p>
        </w:tc>
        <w:tc>
          <w:tcPr>
            <w:tcW w:w="1676" w:type="dxa"/>
            <w:tcBorders>
              <w:top w:val="single" w:sz="4" w:space="0" w:color="auto"/>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0.026</w:t>
            </w:r>
          </w:p>
        </w:tc>
        <w:tc>
          <w:tcPr>
            <w:tcW w:w="1336" w:type="dxa"/>
            <w:tcBorders>
              <w:top w:val="single" w:sz="4" w:space="0" w:color="auto"/>
              <w:left w:val="nil"/>
              <w:bottom w:val="nil"/>
              <w:right w:val="nil"/>
            </w:tcBorders>
            <w:shd w:val="clear" w:color="auto" w:fill="auto"/>
            <w:noWrap/>
            <w:vAlign w:val="bottom"/>
            <w:hideMark/>
          </w:tcPr>
          <w:p w:rsidR="00E54338" w:rsidRPr="00E54338" w:rsidRDefault="00E54338" w:rsidP="00E54338">
            <w:pPr>
              <w:jc w:val="center"/>
              <w:rPr>
                <w:rFonts w:eastAsia="Times New Roman"/>
                <w:color w:val="000000"/>
                <w:sz w:val="22"/>
                <w:szCs w:val="22"/>
              </w:rPr>
            </w:pPr>
            <w:r w:rsidRPr="00E54338">
              <w:rPr>
                <w:rFonts w:eastAsia="Times New Roman"/>
                <w:color w:val="000000"/>
                <w:sz w:val="22"/>
                <w:szCs w:val="22"/>
              </w:rPr>
              <w:t>0.007</w:t>
            </w:r>
            <w:r>
              <w:rPr>
                <w:rFonts w:eastAsia="Times New Roman"/>
                <w:color w:val="000000"/>
                <w:sz w:val="22"/>
                <w:szCs w:val="22"/>
              </w:rPr>
              <w:t>***</w:t>
            </w:r>
          </w:p>
        </w:tc>
      </w:tr>
    </w:tbl>
    <w:p w:rsidR="000D6361" w:rsidRDefault="000D6361" w:rsidP="006D7812">
      <w:pPr>
        <w:jc w:val="both"/>
        <w:rPr>
          <w:sz w:val="22"/>
          <w:szCs w:val="22"/>
        </w:rPr>
        <w:sectPr w:rsidR="000D6361" w:rsidSect="00887081">
          <w:pgSz w:w="11900" w:h="16840"/>
          <w:pgMar w:top="1440" w:right="1800" w:bottom="1440" w:left="1800" w:header="708" w:footer="708" w:gutter="0"/>
          <w:cols w:space="708"/>
          <w:docGrid w:linePitch="360"/>
        </w:sectPr>
      </w:pPr>
    </w:p>
    <w:p w:rsidR="000D6361" w:rsidRPr="00B36A97" w:rsidRDefault="000D6361" w:rsidP="000D6361">
      <w:pPr>
        <w:widowControl w:val="0"/>
        <w:autoSpaceDE w:val="0"/>
        <w:autoSpaceDN w:val="0"/>
        <w:adjustRightInd w:val="0"/>
        <w:rPr>
          <w:b/>
          <w:sz w:val="22"/>
          <w:szCs w:val="22"/>
        </w:rPr>
      </w:pPr>
      <w:r w:rsidRPr="00B36A97">
        <w:rPr>
          <w:b/>
          <w:sz w:val="22"/>
          <w:szCs w:val="22"/>
        </w:rPr>
        <w:lastRenderedPageBreak/>
        <w:t xml:space="preserve">Panel B: Forecast Error Regressions   </w:t>
      </w:r>
    </w:p>
    <w:p w:rsidR="000D6361" w:rsidRDefault="000D6361" w:rsidP="000D6361">
      <w:pPr>
        <w:widowControl w:val="0"/>
        <w:autoSpaceDE w:val="0"/>
        <w:autoSpaceDN w:val="0"/>
        <w:adjustRightInd w:val="0"/>
        <w:jc w:val="center"/>
        <w:rPr>
          <w:sz w:val="16"/>
          <w:szCs w:val="16"/>
        </w:rPr>
      </w:pPr>
    </w:p>
    <w:tbl>
      <w:tblPr>
        <w:tblW w:w="12506" w:type="dxa"/>
        <w:tblInd w:w="75" w:type="dxa"/>
        <w:tblCellMar>
          <w:left w:w="75" w:type="dxa"/>
          <w:right w:w="75" w:type="dxa"/>
        </w:tblCellMar>
        <w:tblLook w:val="0000"/>
      </w:tblPr>
      <w:tblGrid>
        <w:gridCol w:w="2552"/>
        <w:gridCol w:w="1134"/>
        <w:gridCol w:w="980"/>
        <w:gridCol w:w="980"/>
        <w:gridCol w:w="980"/>
        <w:gridCol w:w="980"/>
        <w:gridCol w:w="980"/>
        <w:gridCol w:w="980"/>
        <w:gridCol w:w="980"/>
        <w:gridCol w:w="980"/>
        <w:gridCol w:w="980"/>
      </w:tblGrid>
      <w:tr w:rsidR="000D6361" w:rsidRPr="00B36A97" w:rsidTr="000D6361">
        <w:tc>
          <w:tcPr>
            <w:tcW w:w="2552" w:type="dxa"/>
            <w:tcBorders>
              <w:top w:val="nil"/>
              <w:left w:val="nil"/>
              <w:bottom w:val="single" w:sz="6" w:space="0" w:color="auto"/>
              <w:right w:val="nil"/>
            </w:tcBorders>
          </w:tcPr>
          <w:p w:rsidR="000D6361" w:rsidRPr="00B36A97" w:rsidRDefault="000D6361" w:rsidP="000D6361">
            <w:pPr>
              <w:widowControl w:val="0"/>
              <w:autoSpaceDE w:val="0"/>
              <w:autoSpaceDN w:val="0"/>
              <w:adjustRightInd w:val="0"/>
              <w:rPr>
                <w:sz w:val="20"/>
                <w:szCs w:val="20"/>
              </w:rPr>
            </w:pPr>
          </w:p>
        </w:tc>
        <w:tc>
          <w:tcPr>
            <w:tcW w:w="1134" w:type="dxa"/>
            <w:tcBorders>
              <w:top w:val="nil"/>
              <w:left w:val="nil"/>
              <w:bottom w:val="single" w:sz="6"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ALL_</w:t>
            </w:r>
            <w:r w:rsidR="002C6604">
              <w:rPr>
                <w:sz w:val="20"/>
                <w:szCs w:val="20"/>
              </w:rPr>
              <w:t>8-K</w:t>
            </w:r>
          </w:p>
        </w:tc>
        <w:tc>
          <w:tcPr>
            <w:tcW w:w="0" w:type="auto"/>
            <w:tcBorders>
              <w:top w:val="nil"/>
              <w:left w:val="nil"/>
              <w:bottom w:val="single" w:sz="6"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Item=1.01</w:t>
            </w:r>
          </w:p>
        </w:tc>
        <w:tc>
          <w:tcPr>
            <w:tcW w:w="0" w:type="auto"/>
            <w:tcBorders>
              <w:top w:val="nil"/>
              <w:left w:val="nil"/>
              <w:bottom w:val="single" w:sz="6"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Item=1.02</w:t>
            </w:r>
          </w:p>
        </w:tc>
        <w:tc>
          <w:tcPr>
            <w:tcW w:w="0" w:type="auto"/>
            <w:tcBorders>
              <w:top w:val="nil"/>
              <w:left w:val="nil"/>
              <w:bottom w:val="single" w:sz="6"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Item=2.01</w:t>
            </w:r>
          </w:p>
        </w:tc>
        <w:tc>
          <w:tcPr>
            <w:tcW w:w="0" w:type="auto"/>
            <w:tcBorders>
              <w:top w:val="nil"/>
              <w:left w:val="nil"/>
              <w:bottom w:val="single" w:sz="6"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Item=2.04</w:t>
            </w:r>
          </w:p>
        </w:tc>
        <w:tc>
          <w:tcPr>
            <w:tcW w:w="0" w:type="auto"/>
            <w:tcBorders>
              <w:top w:val="nil"/>
              <w:left w:val="nil"/>
              <w:bottom w:val="single" w:sz="6"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Item=2.05</w:t>
            </w:r>
          </w:p>
        </w:tc>
        <w:tc>
          <w:tcPr>
            <w:tcW w:w="0" w:type="auto"/>
            <w:tcBorders>
              <w:top w:val="nil"/>
              <w:left w:val="nil"/>
              <w:bottom w:val="single" w:sz="6"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Item=2.06</w:t>
            </w:r>
          </w:p>
        </w:tc>
        <w:tc>
          <w:tcPr>
            <w:tcW w:w="0" w:type="auto"/>
            <w:tcBorders>
              <w:top w:val="nil"/>
              <w:left w:val="nil"/>
              <w:bottom w:val="single" w:sz="6"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Item=3.01</w:t>
            </w:r>
          </w:p>
        </w:tc>
        <w:tc>
          <w:tcPr>
            <w:tcW w:w="0" w:type="auto"/>
            <w:tcBorders>
              <w:top w:val="nil"/>
              <w:left w:val="nil"/>
              <w:bottom w:val="single" w:sz="6"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Item=3.02</w:t>
            </w:r>
          </w:p>
        </w:tc>
        <w:tc>
          <w:tcPr>
            <w:tcW w:w="0" w:type="auto"/>
            <w:tcBorders>
              <w:top w:val="nil"/>
              <w:left w:val="nil"/>
              <w:bottom w:val="single" w:sz="6"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Item=3.03</w:t>
            </w:r>
          </w:p>
        </w:tc>
      </w:tr>
      <w:tr w:rsidR="000D6361" w:rsidRPr="00B36A97" w:rsidTr="000D6361">
        <w:tc>
          <w:tcPr>
            <w:tcW w:w="2552" w:type="dxa"/>
            <w:tcBorders>
              <w:top w:val="nil"/>
              <w:left w:val="nil"/>
              <w:bottom w:val="nil"/>
              <w:right w:val="nil"/>
            </w:tcBorders>
          </w:tcPr>
          <w:p w:rsidR="000D6361" w:rsidRPr="00B36A97" w:rsidRDefault="000D6361" w:rsidP="000D6361">
            <w:pPr>
              <w:widowControl w:val="0"/>
              <w:autoSpaceDE w:val="0"/>
              <w:autoSpaceDN w:val="0"/>
              <w:adjustRightInd w:val="0"/>
              <w:rPr>
                <w:sz w:val="20"/>
                <w:szCs w:val="20"/>
              </w:rPr>
            </w:pPr>
            <w:r w:rsidRPr="00B36A97">
              <w:rPr>
                <w:sz w:val="20"/>
                <w:szCs w:val="20"/>
              </w:rPr>
              <w:t>Constant</w:t>
            </w:r>
          </w:p>
        </w:tc>
        <w:tc>
          <w:tcPr>
            <w:tcW w:w="1134" w:type="dxa"/>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0.140***</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0.124***</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0.301***</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0.007</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0.014</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0.062</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-0.068</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0.035</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0.339**</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0.229</w:t>
            </w:r>
          </w:p>
        </w:tc>
      </w:tr>
      <w:tr w:rsidR="000D6361" w:rsidRPr="00B36A97" w:rsidTr="000D6361">
        <w:tc>
          <w:tcPr>
            <w:tcW w:w="2552" w:type="dxa"/>
            <w:tcBorders>
              <w:top w:val="nil"/>
              <w:left w:val="nil"/>
              <w:bottom w:val="nil"/>
              <w:right w:val="nil"/>
            </w:tcBorders>
          </w:tcPr>
          <w:p w:rsidR="000D6361" w:rsidRPr="00B36A97" w:rsidRDefault="000D6361" w:rsidP="000D6361">
            <w:pPr>
              <w:widowControl w:val="0"/>
              <w:autoSpaceDE w:val="0"/>
              <w:autoSpaceDN w:val="0"/>
              <w:adjustRightInd w:val="0"/>
              <w:rPr>
                <w:sz w:val="20"/>
                <w:szCs w:val="20"/>
              </w:rPr>
            </w:pPr>
          </w:p>
        </w:tc>
        <w:tc>
          <w:tcPr>
            <w:tcW w:w="1134" w:type="dxa"/>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(0.000)</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(0.000)</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(0.001)</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(0.903)</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(0.971)</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(0.603)</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(0.348)</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(0.782)</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(0.019)</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(0.145)</w:t>
            </w:r>
          </w:p>
        </w:tc>
      </w:tr>
      <w:tr w:rsidR="000D6361" w:rsidRPr="000D6361" w:rsidTr="000D6361">
        <w:tc>
          <w:tcPr>
            <w:tcW w:w="2552" w:type="dxa"/>
            <w:tcBorders>
              <w:top w:val="nil"/>
              <w:left w:val="nil"/>
              <w:bottom w:val="nil"/>
              <w:right w:val="nil"/>
            </w:tcBorders>
          </w:tcPr>
          <w:p w:rsidR="000D6361" w:rsidRPr="000D6361" w:rsidRDefault="000D6361" w:rsidP="000D6361">
            <w:pPr>
              <w:widowControl w:val="0"/>
              <w:autoSpaceDE w:val="0"/>
              <w:autoSpaceDN w:val="0"/>
              <w:adjustRightInd w:val="0"/>
              <w:rPr>
                <w:sz w:val="20"/>
                <w:szCs w:val="20"/>
              </w:rPr>
            </w:pPr>
            <w:r w:rsidRPr="000D6361">
              <w:rPr>
                <w:sz w:val="20"/>
                <w:szCs w:val="20"/>
              </w:rPr>
              <w:t>Reaction Indicator</w:t>
            </w:r>
          </w:p>
        </w:tc>
        <w:tc>
          <w:tcPr>
            <w:tcW w:w="1134" w:type="dxa"/>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-0.002***</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-0.002***</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-0.001</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-0.001</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-0.006***</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-0.005***</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-0.006**</w:t>
            </w:r>
          </w:p>
        </w:tc>
      </w:tr>
      <w:tr w:rsidR="000D6361" w:rsidRPr="000D6361" w:rsidTr="000D6361">
        <w:tc>
          <w:tcPr>
            <w:tcW w:w="2552" w:type="dxa"/>
            <w:tcBorders>
              <w:top w:val="nil"/>
              <w:left w:val="nil"/>
              <w:bottom w:val="nil"/>
              <w:right w:val="nil"/>
            </w:tcBorders>
          </w:tcPr>
          <w:p w:rsidR="000D6361" w:rsidRPr="000D6361" w:rsidRDefault="000D6361" w:rsidP="000D6361">
            <w:pPr>
              <w:widowControl w:val="0"/>
              <w:autoSpaceDE w:val="0"/>
              <w:autoSpaceDN w:val="0"/>
              <w:adjustRightInd w:val="0"/>
              <w:rPr>
                <w:sz w:val="20"/>
                <w:szCs w:val="20"/>
              </w:rPr>
            </w:pPr>
          </w:p>
        </w:tc>
        <w:tc>
          <w:tcPr>
            <w:tcW w:w="1134" w:type="dxa"/>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(0.000)</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(0.003)</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(0.605)</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(0.263)</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(0.003)</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(0.005)</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(0.004)</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(0.119)</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(0.002)</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(0.040)</w:t>
            </w:r>
          </w:p>
        </w:tc>
      </w:tr>
      <w:tr w:rsidR="000D6361" w:rsidRPr="000D6361" w:rsidTr="000D6361">
        <w:tc>
          <w:tcPr>
            <w:tcW w:w="2552" w:type="dxa"/>
            <w:tcBorders>
              <w:top w:val="nil"/>
              <w:left w:val="nil"/>
              <w:bottom w:val="nil"/>
              <w:right w:val="nil"/>
            </w:tcBorders>
          </w:tcPr>
          <w:p w:rsidR="000D6361" w:rsidRPr="000D6361" w:rsidRDefault="000D6361" w:rsidP="000D6361">
            <w:pPr>
              <w:widowControl w:val="0"/>
              <w:autoSpaceDE w:val="0"/>
              <w:autoSpaceDN w:val="0"/>
              <w:adjustRightInd w:val="0"/>
              <w:rPr>
                <w:sz w:val="20"/>
                <w:szCs w:val="20"/>
              </w:rPr>
            </w:pPr>
            <w:r w:rsidRPr="000D6361">
              <w:rPr>
                <w:sz w:val="20"/>
                <w:szCs w:val="20"/>
              </w:rPr>
              <w:t>Log Market Value of Equity</w:t>
            </w:r>
          </w:p>
        </w:tc>
        <w:tc>
          <w:tcPr>
            <w:tcW w:w="1134" w:type="dxa"/>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-0.018***</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-0.035***</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-0.008</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0.027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-0.011</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0.016*</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-0.012</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-0.043**</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-0.031</w:t>
            </w:r>
          </w:p>
        </w:tc>
      </w:tr>
      <w:tr w:rsidR="000D6361" w:rsidRPr="000D6361" w:rsidTr="000D6361">
        <w:tc>
          <w:tcPr>
            <w:tcW w:w="2552" w:type="dxa"/>
            <w:tcBorders>
              <w:top w:val="nil"/>
              <w:left w:val="nil"/>
              <w:bottom w:val="nil"/>
              <w:right w:val="nil"/>
            </w:tcBorders>
          </w:tcPr>
          <w:p w:rsidR="000D6361" w:rsidRPr="000D6361" w:rsidRDefault="000D6361" w:rsidP="000D6361">
            <w:pPr>
              <w:widowControl w:val="0"/>
              <w:autoSpaceDE w:val="0"/>
              <w:autoSpaceDN w:val="0"/>
              <w:adjustRightInd w:val="0"/>
              <w:rPr>
                <w:sz w:val="20"/>
                <w:szCs w:val="20"/>
              </w:rPr>
            </w:pPr>
          </w:p>
        </w:tc>
        <w:tc>
          <w:tcPr>
            <w:tcW w:w="1134" w:type="dxa"/>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(0.000)</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(0.000)</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(0.001)</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(0.348)</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(0.453)</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(0.450)</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(0.057)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(0.469)</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(0.016)</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(0.104)</w:t>
            </w:r>
          </w:p>
        </w:tc>
      </w:tr>
      <w:tr w:rsidR="000D6361" w:rsidRPr="000D6361" w:rsidTr="000D6361">
        <w:tc>
          <w:tcPr>
            <w:tcW w:w="2552" w:type="dxa"/>
            <w:tcBorders>
              <w:top w:val="nil"/>
              <w:left w:val="nil"/>
              <w:bottom w:val="nil"/>
              <w:right w:val="nil"/>
            </w:tcBorders>
          </w:tcPr>
          <w:p w:rsidR="000D6361" w:rsidRPr="000D6361" w:rsidRDefault="000D6361" w:rsidP="000D6361">
            <w:pPr>
              <w:widowControl w:val="0"/>
              <w:autoSpaceDE w:val="0"/>
              <w:autoSpaceDN w:val="0"/>
              <w:adjustRightInd w:val="0"/>
              <w:rPr>
                <w:sz w:val="20"/>
                <w:szCs w:val="20"/>
              </w:rPr>
            </w:pPr>
            <w:r w:rsidRPr="000D6361">
              <w:rPr>
                <w:sz w:val="20"/>
                <w:szCs w:val="20"/>
              </w:rPr>
              <w:t>Book-to-Market</w:t>
            </w:r>
          </w:p>
        </w:tc>
        <w:tc>
          <w:tcPr>
            <w:tcW w:w="1134" w:type="dxa"/>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0.016***</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0.003</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0.054**</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0.109***</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0.057**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-0.018*</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0.081**</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-0.018</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0.026</w:t>
            </w:r>
          </w:p>
        </w:tc>
      </w:tr>
      <w:tr w:rsidR="000D6361" w:rsidRPr="000D6361" w:rsidTr="000D6361">
        <w:tc>
          <w:tcPr>
            <w:tcW w:w="2552" w:type="dxa"/>
            <w:tcBorders>
              <w:top w:val="nil"/>
              <w:left w:val="nil"/>
              <w:bottom w:val="nil"/>
              <w:right w:val="nil"/>
            </w:tcBorders>
          </w:tcPr>
          <w:p w:rsidR="000D6361" w:rsidRPr="000D6361" w:rsidRDefault="000D6361" w:rsidP="000D6361">
            <w:pPr>
              <w:widowControl w:val="0"/>
              <w:autoSpaceDE w:val="0"/>
              <w:autoSpaceDN w:val="0"/>
              <w:adjustRightInd w:val="0"/>
              <w:rPr>
                <w:sz w:val="20"/>
                <w:szCs w:val="20"/>
              </w:rPr>
            </w:pPr>
          </w:p>
        </w:tc>
        <w:tc>
          <w:tcPr>
            <w:tcW w:w="1134" w:type="dxa"/>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(0.014)</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(0.794)</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(0.040)</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(0.000)</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(0.015)</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(0.076)</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(0.019)</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(0.354)</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(0.316)</w:t>
            </w:r>
          </w:p>
        </w:tc>
      </w:tr>
      <w:tr w:rsidR="000D6361" w:rsidRPr="000D6361" w:rsidTr="000D6361">
        <w:tc>
          <w:tcPr>
            <w:tcW w:w="2552" w:type="dxa"/>
            <w:tcBorders>
              <w:top w:val="nil"/>
              <w:left w:val="nil"/>
              <w:bottom w:val="nil"/>
              <w:right w:val="nil"/>
            </w:tcBorders>
          </w:tcPr>
          <w:p w:rsidR="000D6361" w:rsidRPr="000D6361" w:rsidRDefault="000D6361" w:rsidP="000D6361">
            <w:pPr>
              <w:widowControl w:val="0"/>
              <w:autoSpaceDE w:val="0"/>
              <w:autoSpaceDN w:val="0"/>
              <w:adjustRightInd w:val="0"/>
              <w:rPr>
                <w:sz w:val="20"/>
                <w:szCs w:val="20"/>
              </w:rPr>
            </w:pPr>
            <w:r w:rsidRPr="000D6361">
              <w:rPr>
                <w:sz w:val="20"/>
                <w:szCs w:val="20"/>
              </w:rPr>
              <w:t>Leverage</w:t>
            </w:r>
          </w:p>
        </w:tc>
        <w:tc>
          <w:tcPr>
            <w:tcW w:w="1134" w:type="dxa"/>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0.014**</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0.020**</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-0.026</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0.114***</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-0.214</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0.089</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-0.232***</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0.088</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0.018</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-0.001</w:t>
            </w:r>
          </w:p>
        </w:tc>
      </w:tr>
      <w:tr w:rsidR="000D6361" w:rsidRPr="000D6361" w:rsidTr="000D6361">
        <w:tc>
          <w:tcPr>
            <w:tcW w:w="2552" w:type="dxa"/>
            <w:tcBorders>
              <w:top w:val="nil"/>
              <w:left w:val="nil"/>
              <w:bottom w:val="nil"/>
              <w:right w:val="nil"/>
            </w:tcBorders>
          </w:tcPr>
          <w:p w:rsidR="000D6361" w:rsidRPr="000D6361" w:rsidRDefault="000D6361" w:rsidP="000D6361">
            <w:pPr>
              <w:widowControl w:val="0"/>
              <w:autoSpaceDE w:val="0"/>
              <w:autoSpaceDN w:val="0"/>
              <w:adjustRightInd w:val="0"/>
              <w:rPr>
                <w:sz w:val="20"/>
                <w:szCs w:val="20"/>
              </w:rPr>
            </w:pPr>
          </w:p>
        </w:tc>
        <w:tc>
          <w:tcPr>
            <w:tcW w:w="1134" w:type="dxa"/>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(0.034)</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(0.028)</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(0.437)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(0.350)</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(0.191)</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(0.000)</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(0.243)</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(0.482)</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(0.985)</w:t>
            </w:r>
          </w:p>
        </w:tc>
      </w:tr>
      <w:tr w:rsidR="000D6361" w:rsidRPr="000D6361" w:rsidTr="000D6361">
        <w:tc>
          <w:tcPr>
            <w:tcW w:w="2552" w:type="dxa"/>
            <w:tcBorders>
              <w:top w:val="nil"/>
              <w:left w:val="nil"/>
              <w:bottom w:val="nil"/>
              <w:right w:val="nil"/>
            </w:tcBorders>
          </w:tcPr>
          <w:p w:rsidR="000D6361" w:rsidRPr="000D6361" w:rsidRDefault="000D6361" w:rsidP="000D6361">
            <w:pPr>
              <w:widowControl w:val="0"/>
              <w:autoSpaceDE w:val="0"/>
              <w:autoSpaceDN w:val="0"/>
              <w:adjustRightInd w:val="0"/>
              <w:rPr>
                <w:sz w:val="20"/>
                <w:szCs w:val="20"/>
              </w:rPr>
            </w:pPr>
            <w:r w:rsidRPr="000D6361">
              <w:rPr>
                <w:sz w:val="20"/>
                <w:szCs w:val="20"/>
              </w:rPr>
              <w:t>Equity Return Volatility</w:t>
            </w:r>
          </w:p>
        </w:tc>
        <w:tc>
          <w:tcPr>
            <w:tcW w:w="1134" w:type="dxa"/>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0.053</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0.037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-0.597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0.507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-2.081*</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-0.606</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0.386</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-0.091</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-0.667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1.915***</w:t>
            </w:r>
          </w:p>
        </w:tc>
      </w:tr>
      <w:tr w:rsidR="000D6361" w:rsidRPr="000D6361" w:rsidTr="000D6361">
        <w:tc>
          <w:tcPr>
            <w:tcW w:w="2552" w:type="dxa"/>
            <w:tcBorders>
              <w:top w:val="nil"/>
              <w:left w:val="nil"/>
              <w:bottom w:val="nil"/>
              <w:right w:val="nil"/>
            </w:tcBorders>
          </w:tcPr>
          <w:p w:rsidR="000D6361" w:rsidRPr="000D6361" w:rsidRDefault="000D6361" w:rsidP="000D6361">
            <w:pPr>
              <w:widowControl w:val="0"/>
              <w:autoSpaceDE w:val="0"/>
              <w:autoSpaceDN w:val="0"/>
              <w:adjustRightInd w:val="0"/>
              <w:rPr>
                <w:sz w:val="20"/>
                <w:szCs w:val="20"/>
              </w:rPr>
            </w:pPr>
          </w:p>
        </w:tc>
        <w:tc>
          <w:tcPr>
            <w:tcW w:w="1134" w:type="dxa"/>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(0.509)</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(0.700)</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(0.173)</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(0.297)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(0.074)</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(0.329)</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(0.597)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(0.929)</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(0.206)</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(0.001)</w:t>
            </w:r>
          </w:p>
        </w:tc>
      </w:tr>
      <w:tr w:rsidR="000D6361" w:rsidRPr="000D6361" w:rsidTr="000D6361">
        <w:tc>
          <w:tcPr>
            <w:tcW w:w="2552" w:type="dxa"/>
            <w:tcBorders>
              <w:top w:val="nil"/>
              <w:left w:val="nil"/>
              <w:bottom w:val="nil"/>
              <w:right w:val="nil"/>
            </w:tcBorders>
          </w:tcPr>
          <w:p w:rsidR="000D6361" w:rsidRPr="000D6361" w:rsidRDefault="000D6361" w:rsidP="000D6361">
            <w:pPr>
              <w:widowControl w:val="0"/>
              <w:autoSpaceDE w:val="0"/>
              <w:autoSpaceDN w:val="0"/>
              <w:adjustRightInd w:val="0"/>
              <w:rPr>
                <w:sz w:val="20"/>
                <w:szCs w:val="20"/>
              </w:rPr>
            </w:pPr>
            <w:r w:rsidRPr="000D6361">
              <w:rPr>
                <w:sz w:val="20"/>
                <w:szCs w:val="20"/>
              </w:rPr>
              <w:t>Return on Assets</w:t>
            </w:r>
          </w:p>
        </w:tc>
        <w:tc>
          <w:tcPr>
            <w:tcW w:w="1134" w:type="dxa"/>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-0.027***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-0.036***</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-0.063</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0.016</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-0.146***</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-0.065</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-0.047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0.045</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-0.023</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-0.083*</w:t>
            </w:r>
          </w:p>
        </w:tc>
      </w:tr>
      <w:tr w:rsidR="000D6361" w:rsidRPr="000D6361" w:rsidTr="000D6361">
        <w:tc>
          <w:tcPr>
            <w:tcW w:w="2552" w:type="dxa"/>
            <w:tcBorders>
              <w:top w:val="nil"/>
              <w:left w:val="nil"/>
              <w:bottom w:val="nil"/>
              <w:right w:val="nil"/>
            </w:tcBorders>
          </w:tcPr>
          <w:p w:rsidR="000D6361" w:rsidRPr="000D6361" w:rsidRDefault="000D6361" w:rsidP="000D6361">
            <w:pPr>
              <w:widowControl w:val="0"/>
              <w:autoSpaceDE w:val="0"/>
              <w:autoSpaceDN w:val="0"/>
              <w:adjustRightInd w:val="0"/>
              <w:rPr>
                <w:sz w:val="20"/>
                <w:szCs w:val="20"/>
              </w:rPr>
            </w:pPr>
          </w:p>
        </w:tc>
        <w:tc>
          <w:tcPr>
            <w:tcW w:w="1134" w:type="dxa"/>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(0.000)</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(0.000)</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(0.125)</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(0.537)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(0.001)</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(0.185)</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(0.508)</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(0.277)</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(0.381)</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(0.065)</w:t>
            </w:r>
          </w:p>
        </w:tc>
      </w:tr>
      <w:tr w:rsidR="000D6361" w:rsidRPr="000D6361" w:rsidTr="000D6361">
        <w:tc>
          <w:tcPr>
            <w:tcW w:w="2552" w:type="dxa"/>
            <w:tcBorders>
              <w:top w:val="nil"/>
              <w:left w:val="nil"/>
              <w:bottom w:val="nil"/>
              <w:right w:val="nil"/>
            </w:tcBorders>
          </w:tcPr>
          <w:p w:rsidR="000D6361" w:rsidRPr="000D6361" w:rsidRDefault="000D6361" w:rsidP="000D6361">
            <w:pPr>
              <w:widowControl w:val="0"/>
              <w:autoSpaceDE w:val="0"/>
              <w:autoSpaceDN w:val="0"/>
              <w:adjustRightInd w:val="0"/>
              <w:rPr>
                <w:sz w:val="20"/>
                <w:szCs w:val="20"/>
              </w:rPr>
            </w:pPr>
            <w:r w:rsidRPr="000D6361">
              <w:rPr>
                <w:sz w:val="20"/>
                <w:szCs w:val="20"/>
              </w:rPr>
              <w:t>Institutional Ownership</w:t>
            </w:r>
          </w:p>
        </w:tc>
        <w:tc>
          <w:tcPr>
            <w:tcW w:w="1134" w:type="dxa"/>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-0.011</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-0.008</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0.004</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-0.020</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-0.163***</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0.010</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0.034</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0.191</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0.014</w:t>
            </w:r>
          </w:p>
        </w:tc>
        <w:tc>
          <w:tcPr>
            <w:tcW w:w="0" w:type="auto"/>
            <w:tcBorders>
              <w:top w:val="nil"/>
              <w:left w:val="nil"/>
              <w:bottom w:val="nil"/>
              <w:right w:val="nil"/>
            </w:tcBorders>
          </w:tcPr>
          <w:p w:rsidR="000D6361" w:rsidRPr="000D6361" w:rsidRDefault="000D6361" w:rsidP="000D6361">
            <w:pPr>
              <w:widowControl w:val="0"/>
              <w:autoSpaceDE w:val="0"/>
              <w:autoSpaceDN w:val="0"/>
              <w:adjustRightInd w:val="0"/>
              <w:jc w:val="center"/>
              <w:rPr>
                <w:sz w:val="20"/>
                <w:szCs w:val="20"/>
              </w:rPr>
            </w:pPr>
            <w:r w:rsidRPr="000D6361">
              <w:rPr>
                <w:sz w:val="20"/>
                <w:szCs w:val="20"/>
              </w:rPr>
              <w:t>-0.044</w:t>
            </w:r>
          </w:p>
        </w:tc>
      </w:tr>
      <w:tr w:rsidR="000D6361" w:rsidRPr="00B36A97" w:rsidTr="000D6361">
        <w:tc>
          <w:tcPr>
            <w:tcW w:w="2552" w:type="dxa"/>
            <w:tcBorders>
              <w:top w:val="nil"/>
              <w:left w:val="nil"/>
              <w:bottom w:val="nil"/>
              <w:right w:val="nil"/>
            </w:tcBorders>
          </w:tcPr>
          <w:p w:rsidR="000D6361" w:rsidRPr="00B36A97" w:rsidRDefault="000D6361" w:rsidP="000D6361">
            <w:pPr>
              <w:widowControl w:val="0"/>
              <w:autoSpaceDE w:val="0"/>
              <w:autoSpaceDN w:val="0"/>
              <w:adjustRightInd w:val="0"/>
              <w:rPr>
                <w:sz w:val="20"/>
                <w:szCs w:val="20"/>
              </w:rPr>
            </w:pPr>
          </w:p>
        </w:tc>
        <w:tc>
          <w:tcPr>
            <w:tcW w:w="1134" w:type="dxa"/>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(0.148)</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(0.418)</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(0.846)</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(0.537)</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(0.006)</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(0.778)</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(0.241)</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(0.111)</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(0.774)</w:t>
            </w: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(0.446)</w:t>
            </w:r>
          </w:p>
        </w:tc>
      </w:tr>
      <w:tr w:rsidR="000D6361" w:rsidRPr="00B36A97" w:rsidTr="000D6361">
        <w:tc>
          <w:tcPr>
            <w:tcW w:w="2552" w:type="dxa"/>
            <w:tcBorders>
              <w:top w:val="nil"/>
              <w:left w:val="nil"/>
              <w:bottom w:val="nil"/>
              <w:right w:val="nil"/>
            </w:tcBorders>
          </w:tcPr>
          <w:p w:rsidR="000D6361" w:rsidRPr="00B36A97" w:rsidRDefault="000D6361" w:rsidP="000D6361">
            <w:pPr>
              <w:widowControl w:val="0"/>
              <w:autoSpaceDE w:val="0"/>
              <w:autoSpaceDN w:val="0"/>
              <w:adjustRightInd w:val="0"/>
              <w:rPr>
                <w:sz w:val="20"/>
                <w:szCs w:val="20"/>
              </w:rPr>
            </w:pPr>
          </w:p>
        </w:tc>
        <w:tc>
          <w:tcPr>
            <w:tcW w:w="1134" w:type="dxa"/>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0D6361" w:rsidRPr="00B36A97" w:rsidRDefault="000D6361" w:rsidP="000D6361">
            <w:pPr>
              <w:widowControl w:val="0"/>
              <w:autoSpaceDE w:val="0"/>
              <w:autoSpaceDN w:val="0"/>
              <w:adjustRightInd w:val="0"/>
              <w:jc w:val="center"/>
              <w:rPr>
                <w:sz w:val="20"/>
                <w:szCs w:val="20"/>
              </w:rPr>
            </w:pPr>
          </w:p>
        </w:tc>
      </w:tr>
      <w:tr w:rsidR="000D6361" w:rsidRPr="00B36A97" w:rsidTr="000D6361">
        <w:tc>
          <w:tcPr>
            <w:tcW w:w="2552" w:type="dxa"/>
            <w:tcBorders>
              <w:top w:val="nil"/>
              <w:left w:val="nil"/>
              <w:right w:val="nil"/>
            </w:tcBorders>
          </w:tcPr>
          <w:p w:rsidR="000D6361" w:rsidRPr="00B36A97" w:rsidRDefault="000D6361" w:rsidP="000D6361">
            <w:pPr>
              <w:widowControl w:val="0"/>
              <w:autoSpaceDE w:val="0"/>
              <w:autoSpaceDN w:val="0"/>
              <w:adjustRightInd w:val="0"/>
              <w:rPr>
                <w:sz w:val="20"/>
                <w:szCs w:val="20"/>
              </w:rPr>
            </w:pPr>
            <w:r w:rsidRPr="00B36A97">
              <w:rPr>
                <w:sz w:val="20"/>
                <w:szCs w:val="20"/>
              </w:rPr>
              <w:t>Observations</w:t>
            </w:r>
          </w:p>
        </w:tc>
        <w:tc>
          <w:tcPr>
            <w:tcW w:w="1134" w:type="dxa"/>
            <w:tcBorders>
              <w:top w:val="nil"/>
              <w:left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613,271</w:t>
            </w:r>
          </w:p>
        </w:tc>
        <w:tc>
          <w:tcPr>
            <w:tcW w:w="0" w:type="auto"/>
            <w:tcBorders>
              <w:top w:val="nil"/>
              <w:left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149,346</w:t>
            </w:r>
          </w:p>
        </w:tc>
        <w:tc>
          <w:tcPr>
            <w:tcW w:w="0" w:type="auto"/>
            <w:tcBorders>
              <w:top w:val="nil"/>
              <w:left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11,322</w:t>
            </w:r>
          </w:p>
        </w:tc>
        <w:tc>
          <w:tcPr>
            <w:tcW w:w="0" w:type="auto"/>
            <w:tcBorders>
              <w:top w:val="nil"/>
              <w:left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11,981</w:t>
            </w:r>
          </w:p>
        </w:tc>
        <w:tc>
          <w:tcPr>
            <w:tcW w:w="0" w:type="auto"/>
            <w:tcBorders>
              <w:top w:val="nil"/>
              <w:left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1,591</w:t>
            </w:r>
          </w:p>
        </w:tc>
        <w:tc>
          <w:tcPr>
            <w:tcW w:w="0" w:type="auto"/>
            <w:tcBorders>
              <w:top w:val="nil"/>
              <w:left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6,555</w:t>
            </w:r>
          </w:p>
        </w:tc>
        <w:tc>
          <w:tcPr>
            <w:tcW w:w="0" w:type="auto"/>
            <w:tcBorders>
              <w:top w:val="nil"/>
              <w:left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2,154</w:t>
            </w:r>
          </w:p>
        </w:tc>
        <w:tc>
          <w:tcPr>
            <w:tcW w:w="0" w:type="auto"/>
            <w:tcBorders>
              <w:top w:val="nil"/>
              <w:left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4,180</w:t>
            </w:r>
          </w:p>
        </w:tc>
        <w:tc>
          <w:tcPr>
            <w:tcW w:w="0" w:type="auto"/>
            <w:tcBorders>
              <w:top w:val="nil"/>
              <w:left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8,306</w:t>
            </w:r>
          </w:p>
        </w:tc>
        <w:tc>
          <w:tcPr>
            <w:tcW w:w="0" w:type="auto"/>
            <w:tcBorders>
              <w:top w:val="nil"/>
              <w:left w:val="nil"/>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4,163</w:t>
            </w:r>
          </w:p>
        </w:tc>
      </w:tr>
      <w:tr w:rsidR="000D6361" w:rsidRPr="00B36A97" w:rsidTr="000D6361">
        <w:tc>
          <w:tcPr>
            <w:tcW w:w="2552" w:type="dxa"/>
            <w:tcBorders>
              <w:top w:val="nil"/>
              <w:left w:val="nil"/>
              <w:bottom w:val="single" w:sz="4" w:space="0" w:color="auto"/>
              <w:right w:val="nil"/>
            </w:tcBorders>
          </w:tcPr>
          <w:p w:rsidR="000D6361" w:rsidRPr="00B36A97" w:rsidRDefault="000D6361" w:rsidP="000D6361">
            <w:pPr>
              <w:widowControl w:val="0"/>
              <w:autoSpaceDE w:val="0"/>
              <w:autoSpaceDN w:val="0"/>
              <w:adjustRightInd w:val="0"/>
              <w:rPr>
                <w:sz w:val="20"/>
                <w:szCs w:val="20"/>
              </w:rPr>
            </w:pPr>
            <w:r w:rsidRPr="00B36A97">
              <w:rPr>
                <w:sz w:val="20"/>
                <w:szCs w:val="20"/>
              </w:rPr>
              <w:t>R-squared</w:t>
            </w:r>
          </w:p>
        </w:tc>
        <w:tc>
          <w:tcPr>
            <w:tcW w:w="1134" w:type="dxa"/>
            <w:tcBorders>
              <w:top w:val="nil"/>
              <w:left w:val="nil"/>
              <w:bottom w:val="single" w:sz="4"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0.110</w:t>
            </w:r>
          </w:p>
        </w:tc>
        <w:tc>
          <w:tcPr>
            <w:tcW w:w="0" w:type="auto"/>
            <w:tcBorders>
              <w:top w:val="nil"/>
              <w:left w:val="nil"/>
              <w:bottom w:val="single" w:sz="4"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0.104</w:t>
            </w:r>
          </w:p>
        </w:tc>
        <w:tc>
          <w:tcPr>
            <w:tcW w:w="0" w:type="auto"/>
            <w:tcBorders>
              <w:top w:val="nil"/>
              <w:left w:val="nil"/>
              <w:bottom w:val="single" w:sz="4"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0.117</w:t>
            </w:r>
          </w:p>
        </w:tc>
        <w:tc>
          <w:tcPr>
            <w:tcW w:w="0" w:type="auto"/>
            <w:tcBorders>
              <w:top w:val="nil"/>
              <w:left w:val="nil"/>
              <w:bottom w:val="single" w:sz="4"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0.148</w:t>
            </w:r>
          </w:p>
        </w:tc>
        <w:tc>
          <w:tcPr>
            <w:tcW w:w="0" w:type="auto"/>
            <w:tcBorders>
              <w:top w:val="nil"/>
              <w:left w:val="nil"/>
              <w:bottom w:val="single" w:sz="4"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0.283</w:t>
            </w:r>
          </w:p>
        </w:tc>
        <w:tc>
          <w:tcPr>
            <w:tcW w:w="0" w:type="auto"/>
            <w:tcBorders>
              <w:top w:val="nil"/>
              <w:left w:val="nil"/>
              <w:bottom w:val="single" w:sz="4"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0.221</w:t>
            </w:r>
          </w:p>
        </w:tc>
        <w:tc>
          <w:tcPr>
            <w:tcW w:w="0" w:type="auto"/>
            <w:tcBorders>
              <w:top w:val="nil"/>
              <w:left w:val="nil"/>
              <w:bottom w:val="single" w:sz="4"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0.224</w:t>
            </w:r>
          </w:p>
        </w:tc>
        <w:tc>
          <w:tcPr>
            <w:tcW w:w="0" w:type="auto"/>
            <w:tcBorders>
              <w:top w:val="nil"/>
              <w:left w:val="nil"/>
              <w:bottom w:val="single" w:sz="4"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0.065</w:t>
            </w:r>
          </w:p>
        </w:tc>
        <w:tc>
          <w:tcPr>
            <w:tcW w:w="0" w:type="auto"/>
            <w:tcBorders>
              <w:top w:val="nil"/>
              <w:left w:val="nil"/>
              <w:bottom w:val="single" w:sz="4"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0.188</w:t>
            </w:r>
          </w:p>
        </w:tc>
        <w:tc>
          <w:tcPr>
            <w:tcW w:w="0" w:type="auto"/>
            <w:tcBorders>
              <w:top w:val="nil"/>
              <w:left w:val="nil"/>
              <w:bottom w:val="single" w:sz="4" w:space="0" w:color="auto"/>
              <w:right w:val="nil"/>
            </w:tcBorders>
          </w:tcPr>
          <w:p w:rsidR="000D6361" w:rsidRPr="00B36A97" w:rsidRDefault="000D6361" w:rsidP="000D6361">
            <w:pPr>
              <w:widowControl w:val="0"/>
              <w:autoSpaceDE w:val="0"/>
              <w:autoSpaceDN w:val="0"/>
              <w:adjustRightInd w:val="0"/>
              <w:jc w:val="center"/>
              <w:rPr>
                <w:sz w:val="20"/>
                <w:szCs w:val="20"/>
              </w:rPr>
            </w:pPr>
            <w:r w:rsidRPr="00B36A97">
              <w:rPr>
                <w:sz w:val="20"/>
                <w:szCs w:val="20"/>
              </w:rPr>
              <w:t>0.178</w:t>
            </w:r>
          </w:p>
        </w:tc>
      </w:tr>
    </w:tbl>
    <w:p w:rsidR="000D6361" w:rsidRPr="00B36A97" w:rsidRDefault="000D6361" w:rsidP="000D6361">
      <w:pPr>
        <w:widowControl w:val="0"/>
        <w:autoSpaceDE w:val="0"/>
        <w:autoSpaceDN w:val="0"/>
        <w:adjustRightInd w:val="0"/>
        <w:jc w:val="center"/>
        <w:rPr>
          <w:sz w:val="20"/>
          <w:szCs w:val="20"/>
        </w:rPr>
      </w:pPr>
    </w:p>
    <w:p w:rsidR="000D6361" w:rsidRDefault="000D6361" w:rsidP="000D6361">
      <w:pPr>
        <w:widowControl w:val="0"/>
        <w:autoSpaceDE w:val="0"/>
        <w:autoSpaceDN w:val="0"/>
        <w:adjustRightInd w:val="0"/>
        <w:jc w:val="center"/>
      </w:pPr>
    </w:p>
    <w:p w:rsidR="000D6361" w:rsidRDefault="000D6361" w:rsidP="000D6361">
      <w:pPr>
        <w:widowControl w:val="0"/>
        <w:autoSpaceDE w:val="0"/>
        <w:autoSpaceDN w:val="0"/>
        <w:adjustRightInd w:val="0"/>
        <w:jc w:val="center"/>
      </w:pPr>
    </w:p>
    <w:p w:rsidR="000D6361" w:rsidRDefault="000D6361" w:rsidP="000D6361">
      <w:pPr>
        <w:widowControl w:val="0"/>
        <w:autoSpaceDE w:val="0"/>
        <w:autoSpaceDN w:val="0"/>
        <w:adjustRightInd w:val="0"/>
        <w:jc w:val="center"/>
      </w:pPr>
    </w:p>
    <w:p w:rsidR="000D6361" w:rsidRDefault="000D6361" w:rsidP="000D6361">
      <w:pPr>
        <w:widowControl w:val="0"/>
        <w:autoSpaceDE w:val="0"/>
        <w:autoSpaceDN w:val="0"/>
        <w:adjustRightInd w:val="0"/>
        <w:jc w:val="center"/>
      </w:pPr>
    </w:p>
    <w:p w:rsidR="000D6361" w:rsidRDefault="000D6361" w:rsidP="000D6361">
      <w:pPr>
        <w:widowControl w:val="0"/>
        <w:autoSpaceDE w:val="0"/>
        <w:autoSpaceDN w:val="0"/>
        <w:adjustRightInd w:val="0"/>
        <w:jc w:val="center"/>
      </w:pPr>
    </w:p>
    <w:p w:rsidR="000D6361" w:rsidRDefault="000D6361" w:rsidP="000D6361">
      <w:pPr>
        <w:widowControl w:val="0"/>
        <w:autoSpaceDE w:val="0"/>
        <w:autoSpaceDN w:val="0"/>
        <w:adjustRightInd w:val="0"/>
        <w:jc w:val="center"/>
      </w:pPr>
    </w:p>
    <w:p w:rsidR="000D6361" w:rsidRDefault="000D6361" w:rsidP="000D6361">
      <w:pPr>
        <w:widowControl w:val="0"/>
        <w:autoSpaceDE w:val="0"/>
        <w:autoSpaceDN w:val="0"/>
        <w:adjustRightInd w:val="0"/>
        <w:jc w:val="center"/>
      </w:pPr>
    </w:p>
    <w:p w:rsidR="000D6361" w:rsidRDefault="000D6361" w:rsidP="000D6361">
      <w:pPr>
        <w:widowControl w:val="0"/>
        <w:autoSpaceDE w:val="0"/>
        <w:autoSpaceDN w:val="0"/>
        <w:adjustRightInd w:val="0"/>
        <w:jc w:val="center"/>
      </w:pPr>
    </w:p>
    <w:p w:rsidR="000D6361" w:rsidRDefault="000D6361" w:rsidP="000D6361">
      <w:pPr>
        <w:widowControl w:val="0"/>
        <w:autoSpaceDE w:val="0"/>
        <w:autoSpaceDN w:val="0"/>
        <w:adjustRightInd w:val="0"/>
        <w:jc w:val="center"/>
      </w:pPr>
    </w:p>
    <w:p w:rsidR="000D6361" w:rsidRDefault="000D6361">
      <w:pPr>
        <w:rPr>
          <w:b/>
          <w:sz w:val="22"/>
          <w:szCs w:val="22"/>
        </w:rPr>
      </w:pPr>
      <w:r>
        <w:rPr>
          <w:b/>
          <w:sz w:val="22"/>
          <w:szCs w:val="22"/>
        </w:rPr>
        <w:br w:type="page"/>
      </w:r>
    </w:p>
    <w:p w:rsidR="000D6361" w:rsidRPr="00B36A97" w:rsidRDefault="000D6361" w:rsidP="00463330">
      <w:pPr>
        <w:widowControl w:val="0"/>
        <w:autoSpaceDE w:val="0"/>
        <w:autoSpaceDN w:val="0"/>
        <w:adjustRightInd w:val="0"/>
        <w:rPr>
          <w:b/>
          <w:sz w:val="22"/>
          <w:szCs w:val="22"/>
        </w:rPr>
      </w:pPr>
      <w:r w:rsidRPr="00B36A97">
        <w:rPr>
          <w:b/>
          <w:sz w:val="22"/>
          <w:szCs w:val="22"/>
        </w:rPr>
        <w:lastRenderedPageBreak/>
        <w:t>Panel B: Forecast Error Regressions (Cont.)</w:t>
      </w:r>
    </w:p>
    <w:p w:rsidR="000D6361" w:rsidRPr="00B36A97" w:rsidRDefault="000D6361" w:rsidP="000D6361">
      <w:pPr>
        <w:widowControl w:val="0"/>
        <w:autoSpaceDE w:val="0"/>
        <w:autoSpaceDN w:val="0"/>
        <w:adjustRightInd w:val="0"/>
        <w:jc w:val="center"/>
        <w:rPr>
          <w:sz w:val="20"/>
          <w:szCs w:val="20"/>
        </w:rPr>
      </w:pPr>
    </w:p>
    <w:tbl>
      <w:tblPr>
        <w:tblW w:w="12352" w:type="dxa"/>
        <w:tblInd w:w="75" w:type="dxa"/>
        <w:tblCellMar>
          <w:left w:w="75" w:type="dxa"/>
          <w:right w:w="75" w:type="dxa"/>
        </w:tblCellMar>
        <w:tblLook w:val="0000"/>
      </w:tblPr>
      <w:tblGrid>
        <w:gridCol w:w="2552"/>
        <w:gridCol w:w="980"/>
        <w:gridCol w:w="980"/>
        <w:gridCol w:w="980"/>
        <w:gridCol w:w="980"/>
        <w:gridCol w:w="980"/>
        <w:gridCol w:w="980"/>
        <w:gridCol w:w="980"/>
        <w:gridCol w:w="980"/>
        <w:gridCol w:w="980"/>
        <w:gridCol w:w="980"/>
      </w:tblGrid>
      <w:tr w:rsidR="004B5020" w:rsidRPr="00B36A97" w:rsidTr="004B5020">
        <w:tc>
          <w:tcPr>
            <w:tcW w:w="2552" w:type="dxa"/>
            <w:tcBorders>
              <w:top w:val="nil"/>
              <w:left w:val="nil"/>
              <w:bottom w:val="single" w:sz="6" w:space="0" w:color="auto"/>
              <w:right w:val="nil"/>
            </w:tcBorders>
          </w:tcPr>
          <w:p w:rsidR="004B5020" w:rsidRPr="00B36A97" w:rsidRDefault="004B5020" w:rsidP="000D6361">
            <w:pPr>
              <w:widowControl w:val="0"/>
              <w:autoSpaceDE w:val="0"/>
              <w:autoSpaceDN w:val="0"/>
              <w:adjustRightInd w:val="0"/>
              <w:rPr>
                <w:sz w:val="20"/>
                <w:szCs w:val="20"/>
              </w:rPr>
            </w:pPr>
          </w:p>
        </w:tc>
        <w:tc>
          <w:tcPr>
            <w:tcW w:w="0" w:type="auto"/>
            <w:tcBorders>
              <w:top w:val="nil"/>
              <w:left w:val="nil"/>
              <w:bottom w:val="single" w:sz="6"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Item=4.01</w:t>
            </w:r>
          </w:p>
        </w:tc>
        <w:tc>
          <w:tcPr>
            <w:tcW w:w="0" w:type="auto"/>
            <w:tcBorders>
              <w:top w:val="nil"/>
              <w:left w:val="nil"/>
              <w:bottom w:val="single" w:sz="6"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Item=4.02</w:t>
            </w:r>
          </w:p>
        </w:tc>
        <w:tc>
          <w:tcPr>
            <w:tcW w:w="0" w:type="auto"/>
            <w:tcBorders>
              <w:top w:val="nil"/>
              <w:left w:val="nil"/>
              <w:bottom w:val="single" w:sz="6"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Item=5.01</w:t>
            </w:r>
          </w:p>
        </w:tc>
        <w:tc>
          <w:tcPr>
            <w:tcW w:w="0" w:type="auto"/>
            <w:tcBorders>
              <w:top w:val="nil"/>
              <w:left w:val="nil"/>
              <w:bottom w:val="single" w:sz="6"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Item=5.02</w:t>
            </w:r>
          </w:p>
        </w:tc>
        <w:tc>
          <w:tcPr>
            <w:tcW w:w="0" w:type="auto"/>
            <w:tcBorders>
              <w:top w:val="nil"/>
              <w:left w:val="nil"/>
              <w:bottom w:val="single" w:sz="6"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Item=5.03</w:t>
            </w:r>
          </w:p>
        </w:tc>
        <w:tc>
          <w:tcPr>
            <w:tcW w:w="0" w:type="auto"/>
            <w:tcBorders>
              <w:top w:val="nil"/>
              <w:left w:val="nil"/>
              <w:bottom w:val="single" w:sz="6"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Item=5.04</w:t>
            </w:r>
          </w:p>
        </w:tc>
        <w:tc>
          <w:tcPr>
            <w:tcW w:w="0" w:type="auto"/>
            <w:tcBorders>
              <w:top w:val="nil"/>
              <w:left w:val="nil"/>
              <w:bottom w:val="single" w:sz="6"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Item=5.07</w:t>
            </w:r>
          </w:p>
        </w:tc>
        <w:tc>
          <w:tcPr>
            <w:tcW w:w="0" w:type="auto"/>
            <w:tcBorders>
              <w:top w:val="nil"/>
              <w:left w:val="nil"/>
              <w:bottom w:val="single" w:sz="6"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Item=5.05</w:t>
            </w:r>
          </w:p>
        </w:tc>
        <w:tc>
          <w:tcPr>
            <w:tcW w:w="0" w:type="auto"/>
            <w:tcBorders>
              <w:top w:val="nil"/>
              <w:left w:val="nil"/>
              <w:bottom w:val="single" w:sz="6"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Item=7.01</w:t>
            </w:r>
          </w:p>
        </w:tc>
        <w:tc>
          <w:tcPr>
            <w:tcW w:w="0" w:type="auto"/>
            <w:tcBorders>
              <w:top w:val="nil"/>
              <w:left w:val="nil"/>
              <w:bottom w:val="single" w:sz="6"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Item=8.01</w:t>
            </w:r>
          </w:p>
        </w:tc>
      </w:tr>
      <w:tr w:rsidR="004B5020" w:rsidRPr="00B36A97" w:rsidTr="004B5020">
        <w:tc>
          <w:tcPr>
            <w:tcW w:w="2552" w:type="dxa"/>
            <w:tcBorders>
              <w:top w:val="nil"/>
              <w:left w:val="nil"/>
              <w:bottom w:val="nil"/>
              <w:right w:val="nil"/>
            </w:tcBorders>
          </w:tcPr>
          <w:p w:rsidR="004B5020" w:rsidRPr="00B36A97" w:rsidRDefault="004B5020" w:rsidP="000D6361">
            <w:pPr>
              <w:widowControl w:val="0"/>
              <w:autoSpaceDE w:val="0"/>
              <w:autoSpaceDN w:val="0"/>
              <w:adjustRightInd w:val="0"/>
              <w:rPr>
                <w:sz w:val="20"/>
                <w:szCs w:val="20"/>
              </w:rPr>
            </w:pPr>
            <w:r w:rsidRPr="00B36A97">
              <w:rPr>
                <w:sz w:val="20"/>
                <w:szCs w:val="20"/>
              </w:rPr>
              <w:t>Constant</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-0.425</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-0.017</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0.028</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0.150***</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0.093**</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0.016</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-0.004</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-0.053</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0.140***</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0.172***</w:t>
            </w:r>
          </w:p>
        </w:tc>
      </w:tr>
      <w:tr w:rsidR="004B5020" w:rsidRPr="00B36A97" w:rsidTr="004B5020">
        <w:tc>
          <w:tcPr>
            <w:tcW w:w="2552" w:type="dxa"/>
            <w:tcBorders>
              <w:top w:val="nil"/>
              <w:left w:val="nil"/>
              <w:bottom w:val="nil"/>
              <w:right w:val="nil"/>
            </w:tcBorders>
          </w:tcPr>
          <w:p w:rsidR="004B5020" w:rsidRPr="00B36A97" w:rsidRDefault="004B5020" w:rsidP="000D6361">
            <w:pPr>
              <w:widowControl w:val="0"/>
              <w:autoSpaceDE w:val="0"/>
              <w:autoSpaceDN w:val="0"/>
              <w:adjustRightInd w:val="0"/>
              <w:rPr>
                <w:sz w:val="20"/>
                <w:szCs w:val="20"/>
              </w:rPr>
            </w:pP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(0.321)</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(0.757)</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(0.467)</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(0.000)</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(0.030)</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(0.121)</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(0.746)</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(0.915)</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(0.001)</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(0.000)</w:t>
            </w:r>
          </w:p>
        </w:tc>
      </w:tr>
      <w:tr w:rsidR="004B5020" w:rsidRPr="000D6361" w:rsidTr="004B5020">
        <w:tc>
          <w:tcPr>
            <w:tcW w:w="2552" w:type="dxa"/>
            <w:tcBorders>
              <w:top w:val="nil"/>
              <w:left w:val="nil"/>
              <w:bottom w:val="nil"/>
              <w:right w:val="nil"/>
            </w:tcBorders>
          </w:tcPr>
          <w:p w:rsidR="004B5020" w:rsidRPr="000D6361" w:rsidRDefault="004B5020" w:rsidP="000D6361">
            <w:pPr>
              <w:widowControl w:val="0"/>
              <w:autoSpaceDE w:val="0"/>
              <w:autoSpaceDN w:val="0"/>
              <w:adjustRightInd w:val="0"/>
              <w:rPr>
                <w:sz w:val="20"/>
                <w:szCs w:val="20"/>
              </w:rPr>
            </w:pPr>
            <w:r w:rsidRPr="000D6361">
              <w:rPr>
                <w:sz w:val="20"/>
                <w:szCs w:val="20"/>
              </w:rPr>
              <w:t>Reaction Indicator</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-0.005***</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0.002</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0.002</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-0.002</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-0.003**</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-0.002***</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-0.003***</w:t>
            </w:r>
          </w:p>
        </w:tc>
      </w:tr>
      <w:tr w:rsidR="004B5020" w:rsidRPr="000D6361" w:rsidTr="004B5020">
        <w:tc>
          <w:tcPr>
            <w:tcW w:w="2552" w:type="dxa"/>
            <w:tcBorders>
              <w:top w:val="nil"/>
              <w:left w:val="nil"/>
              <w:bottom w:val="nil"/>
              <w:right w:val="nil"/>
            </w:tcBorders>
          </w:tcPr>
          <w:p w:rsidR="004B5020" w:rsidRPr="000D6361" w:rsidRDefault="004B5020" w:rsidP="000D6361">
            <w:pPr>
              <w:widowControl w:val="0"/>
              <w:autoSpaceDE w:val="0"/>
              <w:autoSpaceDN w:val="0"/>
              <w:adjustRightInd w:val="0"/>
              <w:rPr>
                <w:sz w:val="20"/>
                <w:szCs w:val="20"/>
              </w:rPr>
            </w:pP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(0.003)</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(0.838)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(0.613)</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(0.108)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(0.813)</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(0.799)</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(0.638)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(0.002)</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(0.000)</w:t>
            </w:r>
          </w:p>
        </w:tc>
      </w:tr>
      <w:tr w:rsidR="004B5020" w:rsidRPr="000D6361" w:rsidTr="004B5020">
        <w:tc>
          <w:tcPr>
            <w:tcW w:w="2552" w:type="dxa"/>
            <w:tcBorders>
              <w:top w:val="nil"/>
              <w:left w:val="nil"/>
              <w:bottom w:val="nil"/>
              <w:right w:val="nil"/>
            </w:tcBorders>
          </w:tcPr>
          <w:p w:rsidR="004B5020" w:rsidRPr="000D6361" w:rsidRDefault="004B5020" w:rsidP="000D6361">
            <w:pPr>
              <w:widowControl w:val="0"/>
              <w:autoSpaceDE w:val="0"/>
              <w:autoSpaceDN w:val="0"/>
              <w:adjustRightInd w:val="0"/>
              <w:rPr>
                <w:sz w:val="20"/>
                <w:szCs w:val="20"/>
              </w:rPr>
            </w:pPr>
            <w:r w:rsidRPr="000D6361">
              <w:rPr>
                <w:sz w:val="20"/>
                <w:szCs w:val="20"/>
              </w:rPr>
              <w:t>Log Market Value of Equity</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0.046</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-0.003</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-0.003</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-0.019***</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-0.013**</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-0.002*</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-0.002***</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0.006</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-0.021***</w:t>
            </w:r>
          </w:p>
        </w:tc>
      </w:tr>
      <w:tr w:rsidR="004B5020" w:rsidRPr="000D6361" w:rsidTr="004B5020">
        <w:tc>
          <w:tcPr>
            <w:tcW w:w="2552" w:type="dxa"/>
            <w:tcBorders>
              <w:top w:val="nil"/>
              <w:left w:val="nil"/>
              <w:bottom w:val="nil"/>
              <w:right w:val="nil"/>
            </w:tcBorders>
          </w:tcPr>
          <w:p w:rsidR="004B5020" w:rsidRPr="000D6361" w:rsidRDefault="004B5020" w:rsidP="000D6361">
            <w:pPr>
              <w:widowControl w:val="0"/>
              <w:autoSpaceDE w:val="0"/>
              <w:autoSpaceDN w:val="0"/>
              <w:adjustRightInd w:val="0"/>
              <w:rPr>
                <w:sz w:val="20"/>
                <w:szCs w:val="20"/>
              </w:rPr>
            </w:pP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(0.398)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(0.421)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(0.521)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(0.013)</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(0.062)</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(0.908)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(0.000)</w:t>
            </w:r>
          </w:p>
        </w:tc>
      </w:tr>
      <w:tr w:rsidR="004B5020" w:rsidRPr="000D6361" w:rsidTr="004B5020">
        <w:tc>
          <w:tcPr>
            <w:tcW w:w="2552" w:type="dxa"/>
            <w:tcBorders>
              <w:top w:val="nil"/>
              <w:left w:val="nil"/>
              <w:bottom w:val="nil"/>
              <w:right w:val="nil"/>
            </w:tcBorders>
          </w:tcPr>
          <w:p w:rsidR="004B5020" w:rsidRPr="000D6361" w:rsidRDefault="004B5020" w:rsidP="000D6361">
            <w:pPr>
              <w:widowControl w:val="0"/>
              <w:autoSpaceDE w:val="0"/>
              <w:autoSpaceDN w:val="0"/>
              <w:adjustRightInd w:val="0"/>
              <w:rPr>
                <w:sz w:val="20"/>
                <w:szCs w:val="20"/>
              </w:rPr>
            </w:pPr>
            <w:r w:rsidRPr="000D6361">
              <w:rPr>
                <w:sz w:val="20"/>
                <w:szCs w:val="20"/>
              </w:rPr>
              <w:t>Book-to-Market</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-0.040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0.062**</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0.041**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0.020***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0.041***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-0.004**</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0.005**</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0.155</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0.012</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0.009</w:t>
            </w:r>
          </w:p>
        </w:tc>
      </w:tr>
      <w:tr w:rsidR="004B5020" w:rsidRPr="000D6361" w:rsidTr="004B5020">
        <w:tc>
          <w:tcPr>
            <w:tcW w:w="2552" w:type="dxa"/>
            <w:tcBorders>
              <w:top w:val="nil"/>
              <w:left w:val="nil"/>
              <w:bottom w:val="nil"/>
              <w:right w:val="nil"/>
            </w:tcBorders>
          </w:tcPr>
          <w:p w:rsidR="004B5020" w:rsidRPr="000D6361" w:rsidRDefault="004B5020" w:rsidP="000D6361">
            <w:pPr>
              <w:widowControl w:val="0"/>
              <w:autoSpaceDE w:val="0"/>
              <w:autoSpaceDN w:val="0"/>
              <w:adjustRightInd w:val="0"/>
              <w:rPr>
                <w:sz w:val="20"/>
                <w:szCs w:val="20"/>
              </w:rPr>
            </w:pP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(0.245)</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(0.024)</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(0.007)</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(0.003)</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(0.025)</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(0.049)</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(0.148)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(0.126)</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(0.227)</w:t>
            </w:r>
          </w:p>
        </w:tc>
      </w:tr>
      <w:tr w:rsidR="004B5020" w:rsidRPr="000D6361" w:rsidTr="004B5020">
        <w:tc>
          <w:tcPr>
            <w:tcW w:w="2552" w:type="dxa"/>
            <w:tcBorders>
              <w:top w:val="nil"/>
              <w:left w:val="nil"/>
              <w:bottom w:val="nil"/>
              <w:right w:val="nil"/>
            </w:tcBorders>
          </w:tcPr>
          <w:p w:rsidR="004B5020" w:rsidRPr="000D6361" w:rsidRDefault="004B5020" w:rsidP="000D6361">
            <w:pPr>
              <w:widowControl w:val="0"/>
              <w:autoSpaceDE w:val="0"/>
              <w:autoSpaceDN w:val="0"/>
              <w:adjustRightInd w:val="0"/>
              <w:rPr>
                <w:sz w:val="20"/>
                <w:szCs w:val="20"/>
              </w:rPr>
            </w:pPr>
            <w:r w:rsidRPr="000D6361">
              <w:rPr>
                <w:sz w:val="20"/>
                <w:szCs w:val="20"/>
              </w:rPr>
              <w:t>Leverage</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0.563***</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0.024</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0.031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-0.003</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0.014**</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-0.066</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0.020**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0.012</w:t>
            </w:r>
          </w:p>
        </w:tc>
      </w:tr>
      <w:tr w:rsidR="004B5020" w:rsidRPr="000D6361" w:rsidTr="004B5020">
        <w:tc>
          <w:tcPr>
            <w:tcW w:w="2552" w:type="dxa"/>
            <w:tcBorders>
              <w:top w:val="nil"/>
              <w:left w:val="nil"/>
              <w:bottom w:val="nil"/>
              <w:right w:val="nil"/>
            </w:tcBorders>
          </w:tcPr>
          <w:p w:rsidR="004B5020" w:rsidRPr="000D6361" w:rsidRDefault="004B5020" w:rsidP="000D6361">
            <w:pPr>
              <w:widowControl w:val="0"/>
              <w:autoSpaceDE w:val="0"/>
              <w:autoSpaceDN w:val="0"/>
              <w:adjustRightInd w:val="0"/>
              <w:rPr>
                <w:sz w:val="20"/>
                <w:szCs w:val="20"/>
              </w:rPr>
            </w:pP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(0.298)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(0.322)</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(0.351)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(0.312)</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(0.659)</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(0.041)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(0.842)</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(0.046)</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(0.177)</w:t>
            </w:r>
          </w:p>
        </w:tc>
      </w:tr>
      <w:tr w:rsidR="004B5020" w:rsidRPr="000D6361" w:rsidTr="004B5020">
        <w:tc>
          <w:tcPr>
            <w:tcW w:w="2552" w:type="dxa"/>
            <w:tcBorders>
              <w:top w:val="nil"/>
              <w:left w:val="nil"/>
              <w:bottom w:val="nil"/>
              <w:right w:val="nil"/>
            </w:tcBorders>
          </w:tcPr>
          <w:p w:rsidR="004B5020" w:rsidRPr="000D6361" w:rsidRDefault="004B5020" w:rsidP="000D6361">
            <w:pPr>
              <w:widowControl w:val="0"/>
              <w:autoSpaceDE w:val="0"/>
              <w:autoSpaceDN w:val="0"/>
              <w:adjustRightInd w:val="0"/>
              <w:rPr>
                <w:sz w:val="20"/>
                <w:szCs w:val="20"/>
              </w:rPr>
            </w:pPr>
            <w:r w:rsidRPr="000D6361">
              <w:rPr>
                <w:sz w:val="20"/>
                <w:szCs w:val="20"/>
              </w:rPr>
              <w:t>Equity Return Volatility</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0.616</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1.217*</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0.928**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-0.079</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0.351***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0.617***</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2.342***</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0.028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0.125</w:t>
            </w:r>
          </w:p>
        </w:tc>
      </w:tr>
      <w:tr w:rsidR="004B5020" w:rsidRPr="000D6361" w:rsidTr="004B5020">
        <w:tc>
          <w:tcPr>
            <w:tcW w:w="2552" w:type="dxa"/>
            <w:tcBorders>
              <w:top w:val="nil"/>
              <w:left w:val="nil"/>
              <w:bottom w:val="nil"/>
              <w:right w:val="nil"/>
            </w:tcBorders>
          </w:tcPr>
          <w:p w:rsidR="004B5020" w:rsidRPr="000D6361" w:rsidRDefault="004B5020" w:rsidP="000D6361">
            <w:pPr>
              <w:widowControl w:val="0"/>
              <w:autoSpaceDE w:val="0"/>
              <w:autoSpaceDN w:val="0"/>
              <w:adjustRightInd w:val="0"/>
              <w:rPr>
                <w:sz w:val="20"/>
                <w:szCs w:val="20"/>
              </w:rPr>
            </w:pP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(0.491)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(0.093)</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(0.047)</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(0.990)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(0.707)</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(0.815)</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(0.175)</w:t>
            </w:r>
          </w:p>
        </w:tc>
      </w:tr>
      <w:tr w:rsidR="004B5020" w:rsidRPr="000D6361" w:rsidTr="004B5020">
        <w:tc>
          <w:tcPr>
            <w:tcW w:w="2552" w:type="dxa"/>
            <w:tcBorders>
              <w:top w:val="nil"/>
              <w:left w:val="nil"/>
              <w:bottom w:val="nil"/>
              <w:right w:val="nil"/>
            </w:tcBorders>
          </w:tcPr>
          <w:p w:rsidR="004B5020" w:rsidRPr="000D6361" w:rsidRDefault="004B5020" w:rsidP="000D6361">
            <w:pPr>
              <w:widowControl w:val="0"/>
              <w:autoSpaceDE w:val="0"/>
              <w:autoSpaceDN w:val="0"/>
              <w:adjustRightInd w:val="0"/>
              <w:rPr>
                <w:sz w:val="20"/>
                <w:szCs w:val="20"/>
              </w:rPr>
            </w:pPr>
            <w:r w:rsidRPr="000D6361">
              <w:rPr>
                <w:sz w:val="20"/>
                <w:szCs w:val="20"/>
              </w:rPr>
              <w:t>Return on Assets</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-0.385**</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-0.140**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-0.324***</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-0.019*</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-0.019</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-0.025</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-0.050***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0.041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-0.026**</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-0.024***</w:t>
            </w:r>
          </w:p>
        </w:tc>
      </w:tr>
      <w:tr w:rsidR="004B5020" w:rsidRPr="000D6361" w:rsidTr="004B5020">
        <w:tc>
          <w:tcPr>
            <w:tcW w:w="2552" w:type="dxa"/>
            <w:tcBorders>
              <w:top w:val="nil"/>
              <w:left w:val="nil"/>
              <w:bottom w:val="nil"/>
              <w:right w:val="nil"/>
            </w:tcBorders>
          </w:tcPr>
          <w:p w:rsidR="004B5020" w:rsidRPr="000D6361" w:rsidRDefault="004B5020" w:rsidP="000D6361">
            <w:pPr>
              <w:widowControl w:val="0"/>
              <w:autoSpaceDE w:val="0"/>
              <w:autoSpaceDN w:val="0"/>
              <w:adjustRightInd w:val="0"/>
              <w:rPr>
                <w:sz w:val="20"/>
                <w:szCs w:val="20"/>
              </w:rPr>
            </w:pP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(0.023)</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(0.051)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(0.216)</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(0.144)</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(0.866)</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(0.034)</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(0.004)</w:t>
            </w:r>
          </w:p>
        </w:tc>
      </w:tr>
      <w:tr w:rsidR="004B5020" w:rsidRPr="000D6361" w:rsidTr="004B5020">
        <w:tc>
          <w:tcPr>
            <w:tcW w:w="2552" w:type="dxa"/>
            <w:tcBorders>
              <w:top w:val="nil"/>
              <w:left w:val="nil"/>
              <w:bottom w:val="nil"/>
              <w:right w:val="nil"/>
            </w:tcBorders>
          </w:tcPr>
          <w:p w:rsidR="004B5020" w:rsidRPr="000D6361" w:rsidRDefault="004B5020" w:rsidP="000D6361">
            <w:pPr>
              <w:widowControl w:val="0"/>
              <w:autoSpaceDE w:val="0"/>
              <w:autoSpaceDN w:val="0"/>
              <w:adjustRightInd w:val="0"/>
              <w:rPr>
                <w:sz w:val="20"/>
                <w:szCs w:val="20"/>
              </w:rPr>
            </w:pPr>
            <w:r w:rsidRPr="000D6361">
              <w:rPr>
                <w:sz w:val="20"/>
                <w:szCs w:val="20"/>
              </w:rPr>
              <w:t>Institutional Ownership</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-0.026</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-0.067**</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-0.011</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-0.002</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-0.008</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-0.183*</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-0.020**</w:t>
            </w:r>
          </w:p>
        </w:tc>
        <w:tc>
          <w:tcPr>
            <w:tcW w:w="0" w:type="auto"/>
            <w:tcBorders>
              <w:top w:val="nil"/>
              <w:left w:val="nil"/>
              <w:bottom w:val="nil"/>
              <w:right w:val="nil"/>
            </w:tcBorders>
          </w:tcPr>
          <w:p w:rsidR="004B5020" w:rsidRPr="000D6361" w:rsidRDefault="004B5020" w:rsidP="000D6361">
            <w:pPr>
              <w:widowControl w:val="0"/>
              <w:autoSpaceDE w:val="0"/>
              <w:autoSpaceDN w:val="0"/>
              <w:adjustRightInd w:val="0"/>
              <w:jc w:val="center"/>
              <w:rPr>
                <w:sz w:val="20"/>
                <w:szCs w:val="20"/>
              </w:rPr>
            </w:pPr>
            <w:r w:rsidRPr="000D6361">
              <w:rPr>
                <w:sz w:val="20"/>
                <w:szCs w:val="20"/>
              </w:rPr>
              <w:t>-0.018*</w:t>
            </w:r>
          </w:p>
        </w:tc>
      </w:tr>
      <w:tr w:rsidR="004B5020" w:rsidRPr="00B36A97" w:rsidTr="004B5020">
        <w:tc>
          <w:tcPr>
            <w:tcW w:w="2552" w:type="dxa"/>
            <w:tcBorders>
              <w:top w:val="nil"/>
              <w:left w:val="nil"/>
              <w:bottom w:val="nil"/>
              <w:right w:val="nil"/>
            </w:tcBorders>
          </w:tcPr>
          <w:p w:rsidR="004B5020" w:rsidRPr="00B36A97" w:rsidRDefault="004B5020" w:rsidP="000D6361">
            <w:pPr>
              <w:widowControl w:val="0"/>
              <w:autoSpaceDE w:val="0"/>
              <w:autoSpaceDN w:val="0"/>
              <w:adjustRightInd w:val="0"/>
              <w:rPr>
                <w:sz w:val="20"/>
                <w:szCs w:val="20"/>
              </w:rPr>
            </w:pP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(0.714)</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(0.765)</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(0.042)</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(0.324)</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(0.560)</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(0.831)</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(0.254)</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(0.062)</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(0.024)</w:t>
            </w: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(0.096)</w:t>
            </w:r>
          </w:p>
        </w:tc>
      </w:tr>
      <w:tr w:rsidR="004B5020" w:rsidRPr="00B36A97" w:rsidTr="004B5020">
        <w:tc>
          <w:tcPr>
            <w:tcW w:w="2552" w:type="dxa"/>
            <w:tcBorders>
              <w:top w:val="nil"/>
              <w:left w:val="nil"/>
              <w:bottom w:val="nil"/>
              <w:right w:val="nil"/>
            </w:tcBorders>
          </w:tcPr>
          <w:p w:rsidR="004B5020" w:rsidRPr="00B36A97" w:rsidRDefault="004B5020" w:rsidP="000D6361">
            <w:pPr>
              <w:widowControl w:val="0"/>
              <w:autoSpaceDE w:val="0"/>
              <w:autoSpaceDN w:val="0"/>
              <w:adjustRightInd w:val="0"/>
              <w:rPr>
                <w:sz w:val="20"/>
                <w:szCs w:val="20"/>
              </w:rPr>
            </w:pP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p>
        </w:tc>
        <w:tc>
          <w:tcPr>
            <w:tcW w:w="0" w:type="auto"/>
            <w:tcBorders>
              <w:top w:val="nil"/>
              <w:left w:val="nil"/>
              <w:bottom w:val="nil"/>
              <w:right w:val="nil"/>
            </w:tcBorders>
          </w:tcPr>
          <w:p w:rsidR="004B5020" w:rsidRPr="00B36A97" w:rsidRDefault="004B5020" w:rsidP="000D6361">
            <w:pPr>
              <w:widowControl w:val="0"/>
              <w:autoSpaceDE w:val="0"/>
              <w:autoSpaceDN w:val="0"/>
              <w:adjustRightInd w:val="0"/>
              <w:jc w:val="center"/>
              <w:rPr>
                <w:sz w:val="20"/>
                <w:szCs w:val="20"/>
              </w:rPr>
            </w:pPr>
          </w:p>
        </w:tc>
      </w:tr>
      <w:tr w:rsidR="004B5020" w:rsidRPr="00B36A97" w:rsidTr="004B5020">
        <w:tc>
          <w:tcPr>
            <w:tcW w:w="2552" w:type="dxa"/>
            <w:tcBorders>
              <w:top w:val="nil"/>
              <w:left w:val="nil"/>
              <w:right w:val="nil"/>
            </w:tcBorders>
          </w:tcPr>
          <w:p w:rsidR="004B5020" w:rsidRPr="00B36A97" w:rsidRDefault="004B5020" w:rsidP="000D6361">
            <w:pPr>
              <w:widowControl w:val="0"/>
              <w:autoSpaceDE w:val="0"/>
              <w:autoSpaceDN w:val="0"/>
              <w:adjustRightInd w:val="0"/>
              <w:rPr>
                <w:sz w:val="20"/>
                <w:szCs w:val="20"/>
              </w:rPr>
            </w:pPr>
            <w:r w:rsidRPr="00B36A97">
              <w:rPr>
                <w:sz w:val="20"/>
                <w:szCs w:val="20"/>
              </w:rPr>
              <w:t>Observations</w:t>
            </w:r>
          </w:p>
        </w:tc>
        <w:tc>
          <w:tcPr>
            <w:tcW w:w="0" w:type="auto"/>
            <w:tcBorders>
              <w:top w:val="nil"/>
              <w:left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3,158</w:t>
            </w:r>
          </w:p>
        </w:tc>
        <w:tc>
          <w:tcPr>
            <w:tcW w:w="0" w:type="auto"/>
            <w:tcBorders>
              <w:top w:val="nil"/>
              <w:left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1,402</w:t>
            </w:r>
          </w:p>
        </w:tc>
        <w:tc>
          <w:tcPr>
            <w:tcW w:w="0" w:type="auto"/>
            <w:tcBorders>
              <w:top w:val="nil"/>
              <w:left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459</w:t>
            </w:r>
          </w:p>
        </w:tc>
        <w:tc>
          <w:tcPr>
            <w:tcW w:w="0" w:type="auto"/>
            <w:tcBorders>
              <w:top w:val="nil"/>
              <w:left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154,129</w:t>
            </w:r>
          </w:p>
        </w:tc>
        <w:tc>
          <w:tcPr>
            <w:tcW w:w="0" w:type="auto"/>
            <w:tcBorders>
              <w:top w:val="nil"/>
              <w:left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28,936</w:t>
            </w:r>
          </w:p>
        </w:tc>
        <w:tc>
          <w:tcPr>
            <w:tcW w:w="0" w:type="auto"/>
            <w:tcBorders>
              <w:top w:val="nil"/>
              <w:left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1,769</w:t>
            </w:r>
          </w:p>
        </w:tc>
        <w:tc>
          <w:tcPr>
            <w:tcW w:w="0" w:type="auto"/>
            <w:tcBorders>
              <w:top w:val="nil"/>
              <w:left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15,912</w:t>
            </w:r>
          </w:p>
        </w:tc>
        <w:tc>
          <w:tcPr>
            <w:tcW w:w="0" w:type="auto"/>
            <w:tcBorders>
              <w:top w:val="nil"/>
              <w:left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1,684</w:t>
            </w:r>
          </w:p>
        </w:tc>
        <w:tc>
          <w:tcPr>
            <w:tcW w:w="0" w:type="auto"/>
            <w:tcBorders>
              <w:top w:val="nil"/>
              <w:left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131,413</w:t>
            </w:r>
          </w:p>
        </w:tc>
        <w:tc>
          <w:tcPr>
            <w:tcW w:w="0" w:type="auto"/>
            <w:tcBorders>
              <w:top w:val="nil"/>
              <w:left w:val="nil"/>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177,777</w:t>
            </w:r>
          </w:p>
        </w:tc>
      </w:tr>
      <w:tr w:rsidR="004B5020" w:rsidRPr="00B36A97" w:rsidTr="004B5020">
        <w:tc>
          <w:tcPr>
            <w:tcW w:w="2552" w:type="dxa"/>
            <w:tcBorders>
              <w:top w:val="nil"/>
              <w:left w:val="nil"/>
              <w:bottom w:val="single" w:sz="4" w:space="0" w:color="auto"/>
              <w:right w:val="nil"/>
            </w:tcBorders>
          </w:tcPr>
          <w:p w:rsidR="004B5020" w:rsidRPr="00B36A97" w:rsidRDefault="004B5020" w:rsidP="000D6361">
            <w:pPr>
              <w:widowControl w:val="0"/>
              <w:autoSpaceDE w:val="0"/>
              <w:autoSpaceDN w:val="0"/>
              <w:adjustRightInd w:val="0"/>
              <w:rPr>
                <w:sz w:val="20"/>
                <w:szCs w:val="20"/>
              </w:rPr>
            </w:pPr>
            <w:r w:rsidRPr="00B36A97">
              <w:rPr>
                <w:sz w:val="20"/>
                <w:szCs w:val="20"/>
              </w:rPr>
              <w:t>R-squared</w:t>
            </w:r>
          </w:p>
        </w:tc>
        <w:tc>
          <w:tcPr>
            <w:tcW w:w="0" w:type="auto"/>
            <w:tcBorders>
              <w:top w:val="nil"/>
              <w:left w:val="nil"/>
              <w:bottom w:val="single" w:sz="4"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0.160</w:t>
            </w:r>
          </w:p>
        </w:tc>
        <w:tc>
          <w:tcPr>
            <w:tcW w:w="0" w:type="auto"/>
            <w:tcBorders>
              <w:top w:val="nil"/>
              <w:left w:val="nil"/>
              <w:bottom w:val="single" w:sz="4"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0.307</w:t>
            </w:r>
          </w:p>
        </w:tc>
        <w:tc>
          <w:tcPr>
            <w:tcW w:w="0" w:type="auto"/>
            <w:tcBorders>
              <w:top w:val="nil"/>
              <w:left w:val="nil"/>
              <w:bottom w:val="single" w:sz="4"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0.762</w:t>
            </w:r>
          </w:p>
        </w:tc>
        <w:tc>
          <w:tcPr>
            <w:tcW w:w="0" w:type="auto"/>
            <w:tcBorders>
              <w:top w:val="nil"/>
              <w:left w:val="nil"/>
              <w:bottom w:val="single" w:sz="4"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0.121</w:t>
            </w:r>
          </w:p>
        </w:tc>
        <w:tc>
          <w:tcPr>
            <w:tcW w:w="0" w:type="auto"/>
            <w:tcBorders>
              <w:top w:val="nil"/>
              <w:left w:val="nil"/>
              <w:bottom w:val="single" w:sz="4"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0.158</w:t>
            </w:r>
          </w:p>
        </w:tc>
        <w:tc>
          <w:tcPr>
            <w:tcW w:w="0" w:type="auto"/>
            <w:tcBorders>
              <w:top w:val="nil"/>
              <w:left w:val="nil"/>
              <w:bottom w:val="single" w:sz="4"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0.232</w:t>
            </w:r>
          </w:p>
        </w:tc>
        <w:tc>
          <w:tcPr>
            <w:tcW w:w="0" w:type="auto"/>
            <w:tcBorders>
              <w:top w:val="nil"/>
              <w:left w:val="nil"/>
              <w:bottom w:val="single" w:sz="4"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0.196</w:t>
            </w:r>
          </w:p>
        </w:tc>
        <w:tc>
          <w:tcPr>
            <w:tcW w:w="0" w:type="auto"/>
            <w:tcBorders>
              <w:top w:val="nil"/>
              <w:left w:val="nil"/>
              <w:bottom w:val="single" w:sz="4"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0.148</w:t>
            </w:r>
          </w:p>
        </w:tc>
        <w:tc>
          <w:tcPr>
            <w:tcW w:w="0" w:type="auto"/>
            <w:tcBorders>
              <w:top w:val="nil"/>
              <w:left w:val="nil"/>
              <w:bottom w:val="single" w:sz="4"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0.112</w:t>
            </w:r>
          </w:p>
        </w:tc>
        <w:tc>
          <w:tcPr>
            <w:tcW w:w="0" w:type="auto"/>
            <w:tcBorders>
              <w:top w:val="nil"/>
              <w:left w:val="nil"/>
              <w:bottom w:val="single" w:sz="4" w:space="0" w:color="auto"/>
              <w:right w:val="nil"/>
            </w:tcBorders>
          </w:tcPr>
          <w:p w:rsidR="004B5020" w:rsidRPr="00B36A97" w:rsidRDefault="004B5020" w:rsidP="000D6361">
            <w:pPr>
              <w:widowControl w:val="0"/>
              <w:autoSpaceDE w:val="0"/>
              <w:autoSpaceDN w:val="0"/>
              <w:adjustRightInd w:val="0"/>
              <w:jc w:val="center"/>
              <w:rPr>
                <w:sz w:val="20"/>
                <w:szCs w:val="20"/>
              </w:rPr>
            </w:pPr>
            <w:r w:rsidRPr="00B36A97">
              <w:rPr>
                <w:sz w:val="20"/>
                <w:szCs w:val="20"/>
              </w:rPr>
              <w:t>0.096</w:t>
            </w:r>
          </w:p>
        </w:tc>
      </w:tr>
    </w:tbl>
    <w:p w:rsidR="00FE07D5" w:rsidRPr="00FE07D5" w:rsidRDefault="000D6361" w:rsidP="00463330">
      <w:pPr>
        <w:jc w:val="both"/>
        <w:rPr>
          <w:bCs/>
          <w:sz w:val="22"/>
          <w:szCs w:val="22"/>
          <w:lang w:val="en-CA"/>
        </w:rPr>
      </w:pPr>
      <w:r>
        <w:rPr>
          <w:sz w:val="22"/>
          <w:szCs w:val="22"/>
        </w:rPr>
        <w:t xml:space="preserve">Panel A shows the mean forecast error of forecasts issued following an 8-K report (Reaction Column) and of all other forecasts issued during the Forecast Period (No Reaction Column). </w:t>
      </w:r>
      <w:r>
        <w:rPr>
          <w:bCs/>
          <w:sz w:val="22"/>
          <w:szCs w:val="22"/>
          <w:lang w:val="en-CA"/>
        </w:rPr>
        <w:t xml:space="preserve">Panel B shows the regression results where the dependent variable is the forecast error. </w:t>
      </w:r>
      <w:r w:rsidR="00FE07D5">
        <w:rPr>
          <w:bCs/>
          <w:sz w:val="22"/>
          <w:szCs w:val="22"/>
          <w:lang w:val="en-CA"/>
        </w:rPr>
        <w:t xml:space="preserve">The regressions include firm, year and </w:t>
      </w:r>
      <w:r w:rsidR="00FE07D5" w:rsidRPr="00FE07D5">
        <w:rPr>
          <w:bCs/>
          <w:sz w:val="22"/>
          <w:szCs w:val="22"/>
          <w:lang w:val="en-CA"/>
        </w:rPr>
        <w:t>number of months prior to fiscal year-end</w:t>
      </w:r>
      <w:r w:rsidR="00FE07D5">
        <w:rPr>
          <w:bCs/>
          <w:sz w:val="22"/>
          <w:szCs w:val="22"/>
          <w:lang w:val="en-CA"/>
        </w:rPr>
        <w:t xml:space="preserve"> fixed effects</w:t>
      </w:r>
      <w:r w:rsidR="00FE07D5" w:rsidRPr="00FE07D5">
        <w:rPr>
          <w:bCs/>
          <w:sz w:val="22"/>
          <w:szCs w:val="22"/>
          <w:lang w:val="en-CA"/>
        </w:rPr>
        <w:t xml:space="preserve">. The standard errors correct for firm clustering. </w:t>
      </w:r>
      <w:r w:rsidR="00FE07D5" w:rsidRPr="009657FC">
        <w:rPr>
          <w:sz w:val="20"/>
          <w:szCs w:val="20"/>
        </w:rPr>
        <w:t>***, **,</w:t>
      </w:r>
      <w:r w:rsidR="00FE07D5" w:rsidRPr="005A5424">
        <w:rPr>
          <w:sz w:val="18"/>
          <w:szCs w:val="18"/>
        </w:rPr>
        <w:t xml:space="preserve"> </w:t>
      </w:r>
      <w:r w:rsidR="00FE07D5" w:rsidRPr="009657FC">
        <w:rPr>
          <w:sz w:val="20"/>
          <w:szCs w:val="20"/>
        </w:rPr>
        <w:t>and * denote two-tailed significance at the 1%, 5%, and 10% level, respectively.</w:t>
      </w:r>
      <w:r w:rsidR="00FE07D5">
        <w:rPr>
          <w:sz w:val="20"/>
          <w:szCs w:val="20"/>
        </w:rPr>
        <w:t xml:space="preserve"> </w:t>
      </w:r>
    </w:p>
    <w:p w:rsidR="000D6361" w:rsidRDefault="000D6361" w:rsidP="000D6361">
      <w:pPr>
        <w:jc w:val="both"/>
        <w:rPr>
          <w:sz w:val="22"/>
          <w:szCs w:val="22"/>
        </w:rPr>
      </w:pPr>
    </w:p>
    <w:p w:rsidR="001B1DE7" w:rsidRDefault="001B1DE7" w:rsidP="006D7812">
      <w:pPr>
        <w:jc w:val="both"/>
        <w:rPr>
          <w:sz w:val="22"/>
          <w:szCs w:val="22"/>
        </w:rPr>
        <w:sectPr w:rsidR="001B1DE7" w:rsidSect="000D6361">
          <w:pgSz w:w="16840" w:h="11900" w:orient="landscape"/>
          <w:pgMar w:top="1800" w:right="1440" w:bottom="1800" w:left="1440" w:header="708" w:footer="708" w:gutter="0"/>
          <w:cols w:space="708"/>
          <w:docGrid w:linePitch="360"/>
        </w:sectPr>
      </w:pPr>
    </w:p>
    <w:p w:rsidR="00E54338" w:rsidRPr="0054036D" w:rsidRDefault="0054036D" w:rsidP="006D7812">
      <w:pPr>
        <w:jc w:val="both"/>
        <w:rPr>
          <w:b/>
          <w:sz w:val="22"/>
          <w:szCs w:val="22"/>
        </w:rPr>
      </w:pPr>
      <w:r w:rsidRPr="0054036D">
        <w:rPr>
          <w:b/>
          <w:sz w:val="22"/>
          <w:szCs w:val="22"/>
        </w:rPr>
        <w:lastRenderedPageBreak/>
        <w:t>Table 4: Cumulative Reaction Ratio and Analyst Performance</w:t>
      </w:r>
    </w:p>
    <w:p w:rsidR="0054036D" w:rsidRPr="0054036D" w:rsidRDefault="0054036D" w:rsidP="006D7812">
      <w:pPr>
        <w:jc w:val="both"/>
        <w:rPr>
          <w:b/>
          <w:sz w:val="22"/>
          <w:szCs w:val="22"/>
        </w:rPr>
      </w:pPr>
    </w:p>
    <w:p w:rsidR="0054036D" w:rsidRPr="0054036D" w:rsidRDefault="0054036D" w:rsidP="006D7812">
      <w:pPr>
        <w:jc w:val="both"/>
        <w:rPr>
          <w:b/>
          <w:sz w:val="22"/>
          <w:szCs w:val="22"/>
        </w:rPr>
      </w:pPr>
      <w:r w:rsidRPr="0054036D">
        <w:rPr>
          <w:b/>
          <w:sz w:val="22"/>
          <w:szCs w:val="22"/>
        </w:rPr>
        <w:t>Panel A: Descriptive Stats</w:t>
      </w:r>
    </w:p>
    <w:p w:rsidR="0054036D" w:rsidRDefault="0054036D" w:rsidP="006D7812">
      <w:pPr>
        <w:jc w:val="both"/>
        <w:rPr>
          <w:sz w:val="22"/>
          <w:szCs w:val="22"/>
        </w:rPr>
      </w:pPr>
    </w:p>
    <w:tbl>
      <w:tblPr>
        <w:tblW w:w="9072" w:type="dxa"/>
        <w:tblInd w:w="108" w:type="dxa"/>
        <w:tblLayout w:type="fixed"/>
        <w:tblLook w:val="04A0"/>
      </w:tblPr>
      <w:tblGrid>
        <w:gridCol w:w="3402"/>
        <w:gridCol w:w="993"/>
        <w:gridCol w:w="1559"/>
        <w:gridCol w:w="992"/>
        <w:gridCol w:w="992"/>
        <w:gridCol w:w="1134"/>
      </w:tblGrid>
      <w:tr w:rsidR="0054036D" w:rsidRPr="0054036D" w:rsidTr="0054036D">
        <w:trPr>
          <w:trHeight w:val="300"/>
        </w:trPr>
        <w:tc>
          <w:tcPr>
            <w:tcW w:w="3402" w:type="dxa"/>
            <w:tcBorders>
              <w:top w:val="nil"/>
              <w:left w:val="nil"/>
              <w:bottom w:val="single" w:sz="4" w:space="0" w:color="auto"/>
              <w:right w:val="nil"/>
            </w:tcBorders>
            <w:shd w:val="clear" w:color="auto" w:fill="auto"/>
            <w:noWrap/>
            <w:vAlign w:val="bottom"/>
            <w:hideMark/>
          </w:tcPr>
          <w:p w:rsidR="0054036D" w:rsidRPr="0054036D" w:rsidRDefault="0054036D" w:rsidP="0054036D">
            <w:pPr>
              <w:rPr>
                <w:rFonts w:eastAsia="Times New Roman"/>
                <w:color w:val="000000"/>
                <w:sz w:val="22"/>
                <w:szCs w:val="22"/>
              </w:rPr>
            </w:pPr>
          </w:p>
        </w:tc>
        <w:tc>
          <w:tcPr>
            <w:tcW w:w="993" w:type="dxa"/>
            <w:tcBorders>
              <w:top w:val="nil"/>
              <w:left w:val="nil"/>
              <w:bottom w:val="single" w:sz="4" w:space="0" w:color="auto"/>
              <w:right w:val="nil"/>
            </w:tcBorders>
            <w:shd w:val="clear" w:color="auto" w:fill="auto"/>
            <w:noWrap/>
            <w:vAlign w:val="bottom"/>
            <w:hideMark/>
          </w:tcPr>
          <w:p w:rsidR="0054036D" w:rsidRPr="0054036D" w:rsidRDefault="0054036D" w:rsidP="0054036D">
            <w:pPr>
              <w:jc w:val="center"/>
              <w:rPr>
                <w:rFonts w:eastAsia="Times New Roman"/>
                <w:b/>
                <w:bCs/>
                <w:color w:val="000000"/>
                <w:sz w:val="22"/>
                <w:szCs w:val="22"/>
              </w:rPr>
            </w:pPr>
            <w:r w:rsidRPr="0054036D">
              <w:rPr>
                <w:rFonts w:eastAsia="Times New Roman"/>
                <w:b/>
                <w:bCs/>
                <w:color w:val="000000"/>
                <w:sz w:val="22"/>
                <w:szCs w:val="22"/>
              </w:rPr>
              <w:t>Mean</w:t>
            </w:r>
          </w:p>
        </w:tc>
        <w:tc>
          <w:tcPr>
            <w:tcW w:w="1559" w:type="dxa"/>
            <w:tcBorders>
              <w:top w:val="nil"/>
              <w:left w:val="nil"/>
              <w:bottom w:val="single" w:sz="4" w:space="0" w:color="auto"/>
              <w:right w:val="nil"/>
            </w:tcBorders>
            <w:shd w:val="clear" w:color="auto" w:fill="auto"/>
            <w:noWrap/>
            <w:vAlign w:val="bottom"/>
            <w:hideMark/>
          </w:tcPr>
          <w:p w:rsidR="0054036D" w:rsidRPr="0054036D" w:rsidRDefault="0054036D" w:rsidP="0054036D">
            <w:pPr>
              <w:jc w:val="center"/>
              <w:rPr>
                <w:rFonts w:eastAsia="Times New Roman"/>
                <w:b/>
                <w:bCs/>
                <w:color w:val="000000"/>
                <w:sz w:val="22"/>
                <w:szCs w:val="22"/>
              </w:rPr>
            </w:pPr>
            <w:r w:rsidRPr="0054036D">
              <w:rPr>
                <w:rFonts w:eastAsia="Times New Roman"/>
                <w:b/>
                <w:bCs/>
                <w:color w:val="000000"/>
                <w:sz w:val="22"/>
                <w:szCs w:val="22"/>
              </w:rPr>
              <w:t>Standard Deviation</w:t>
            </w:r>
          </w:p>
        </w:tc>
        <w:tc>
          <w:tcPr>
            <w:tcW w:w="992" w:type="dxa"/>
            <w:tcBorders>
              <w:top w:val="nil"/>
              <w:left w:val="nil"/>
              <w:bottom w:val="single" w:sz="4" w:space="0" w:color="auto"/>
              <w:right w:val="nil"/>
            </w:tcBorders>
            <w:shd w:val="clear" w:color="auto" w:fill="auto"/>
            <w:noWrap/>
            <w:vAlign w:val="bottom"/>
            <w:hideMark/>
          </w:tcPr>
          <w:p w:rsidR="0054036D" w:rsidRPr="0054036D" w:rsidRDefault="0054036D" w:rsidP="0054036D">
            <w:pPr>
              <w:jc w:val="center"/>
              <w:rPr>
                <w:rFonts w:eastAsia="Times New Roman"/>
                <w:b/>
                <w:bCs/>
                <w:color w:val="000000"/>
                <w:sz w:val="22"/>
                <w:szCs w:val="22"/>
              </w:rPr>
            </w:pPr>
            <w:r w:rsidRPr="0054036D">
              <w:rPr>
                <w:rFonts w:eastAsia="Times New Roman"/>
                <w:b/>
                <w:bCs/>
                <w:color w:val="000000"/>
                <w:sz w:val="22"/>
                <w:szCs w:val="22"/>
              </w:rPr>
              <w:t>Q1</w:t>
            </w:r>
          </w:p>
        </w:tc>
        <w:tc>
          <w:tcPr>
            <w:tcW w:w="992" w:type="dxa"/>
            <w:tcBorders>
              <w:top w:val="nil"/>
              <w:left w:val="nil"/>
              <w:bottom w:val="single" w:sz="4" w:space="0" w:color="auto"/>
              <w:right w:val="nil"/>
            </w:tcBorders>
            <w:shd w:val="clear" w:color="auto" w:fill="auto"/>
            <w:noWrap/>
            <w:vAlign w:val="bottom"/>
            <w:hideMark/>
          </w:tcPr>
          <w:p w:rsidR="0054036D" w:rsidRPr="0054036D" w:rsidRDefault="0054036D" w:rsidP="0054036D">
            <w:pPr>
              <w:jc w:val="center"/>
              <w:rPr>
                <w:rFonts w:eastAsia="Times New Roman"/>
                <w:b/>
                <w:bCs/>
                <w:color w:val="000000"/>
                <w:sz w:val="22"/>
                <w:szCs w:val="22"/>
              </w:rPr>
            </w:pPr>
            <w:r w:rsidRPr="0054036D">
              <w:rPr>
                <w:rFonts w:eastAsia="Times New Roman"/>
                <w:b/>
                <w:bCs/>
                <w:color w:val="000000"/>
                <w:sz w:val="22"/>
                <w:szCs w:val="22"/>
              </w:rPr>
              <w:t xml:space="preserve">Median </w:t>
            </w:r>
          </w:p>
        </w:tc>
        <w:tc>
          <w:tcPr>
            <w:tcW w:w="1134" w:type="dxa"/>
            <w:tcBorders>
              <w:top w:val="nil"/>
              <w:left w:val="nil"/>
              <w:bottom w:val="single" w:sz="4" w:space="0" w:color="auto"/>
              <w:right w:val="nil"/>
            </w:tcBorders>
            <w:shd w:val="clear" w:color="auto" w:fill="auto"/>
            <w:noWrap/>
            <w:vAlign w:val="bottom"/>
            <w:hideMark/>
          </w:tcPr>
          <w:p w:rsidR="0054036D" w:rsidRPr="0054036D" w:rsidRDefault="0054036D" w:rsidP="0054036D">
            <w:pPr>
              <w:jc w:val="center"/>
              <w:rPr>
                <w:rFonts w:eastAsia="Times New Roman"/>
                <w:b/>
                <w:bCs/>
                <w:color w:val="000000"/>
                <w:sz w:val="22"/>
                <w:szCs w:val="22"/>
              </w:rPr>
            </w:pPr>
            <w:r w:rsidRPr="0054036D">
              <w:rPr>
                <w:rFonts w:eastAsia="Times New Roman"/>
                <w:b/>
                <w:bCs/>
                <w:color w:val="000000"/>
                <w:sz w:val="22"/>
                <w:szCs w:val="22"/>
              </w:rPr>
              <w:t>Q3</w:t>
            </w:r>
          </w:p>
        </w:tc>
      </w:tr>
      <w:tr w:rsidR="0054036D" w:rsidRPr="0054036D" w:rsidTr="0054036D">
        <w:trPr>
          <w:trHeight w:val="300"/>
        </w:trPr>
        <w:tc>
          <w:tcPr>
            <w:tcW w:w="3402" w:type="dxa"/>
            <w:tcBorders>
              <w:top w:val="single" w:sz="4" w:space="0" w:color="auto"/>
              <w:left w:val="nil"/>
              <w:bottom w:val="nil"/>
              <w:right w:val="nil"/>
            </w:tcBorders>
            <w:shd w:val="clear" w:color="auto" w:fill="auto"/>
            <w:noWrap/>
            <w:vAlign w:val="bottom"/>
            <w:hideMark/>
          </w:tcPr>
          <w:p w:rsidR="0054036D" w:rsidRPr="0054036D" w:rsidRDefault="0054036D" w:rsidP="0054036D">
            <w:pPr>
              <w:rPr>
                <w:rFonts w:eastAsia="Times New Roman"/>
                <w:color w:val="000000"/>
                <w:sz w:val="22"/>
                <w:szCs w:val="22"/>
              </w:rPr>
            </w:pPr>
            <w:r w:rsidRPr="0054036D">
              <w:rPr>
                <w:rFonts w:eastAsia="Times New Roman"/>
                <w:color w:val="000000"/>
                <w:sz w:val="22"/>
                <w:szCs w:val="22"/>
              </w:rPr>
              <w:t>Cumulative Reaction Ratio</w:t>
            </w:r>
          </w:p>
        </w:tc>
        <w:tc>
          <w:tcPr>
            <w:tcW w:w="993" w:type="dxa"/>
            <w:tcBorders>
              <w:top w:val="single" w:sz="4" w:space="0" w:color="auto"/>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0.134</w:t>
            </w:r>
          </w:p>
        </w:tc>
        <w:tc>
          <w:tcPr>
            <w:tcW w:w="1559" w:type="dxa"/>
            <w:tcBorders>
              <w:top w:val="single" w:sz="4" w:space="0" w:color="auto"/>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0.161</w:t>
            </w:r>
          </w:p>
        </w:tc>
        <w:tc>
          <w:tcPr>
            <w:tcW w:w="992" w:type="dxa"/>
            <w:tcBorders>
              <w:top w:val="single" w:sz="4" w:space="0" w:color="auto"/>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0</w:t>
            </w:r>
          </w:p>
        </w:tc>
        <w:tc>
          <w:tcPr>
            <w:tcW w:w="992" w:type="dxa"/>
            <w:tcBorders>
              <w:top w:val="single" w:sz="4" w:space="0" w:color="auto"/>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0.1</w:t>
            </w:r>
          </w:p>
        </w:tc>
        <w:tc>
          <w:tcPr>
            <w:tcW w:w="1134" w:type="dxa"/>
            <w:tcBorders>
              <w:top w:val="single" w:sz="4" w:space="0" w:color="auto"/>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0.2</w:t>
            </w:r>
          </w:p>
        </w:tc>
      </w:tr>
      <w:tr w:rsidR="0054036D" w:rsidRPr="0054036D" w:rsidTr="0054036D">
        <w:trPr>
          <w:trHeight w:val="300"/>
        </w:trPr>
        <w:tc>
          <w:tcPr>
            <w:tcW w:w="3402" w:type="dxa"/>
            <w:tcBorders>
              <w:top w:val="nil"/>
              <w:left w:val="nil"/>
              <w:bottom w:val="nil"/>
              <w:right w:val="nil"/>
            </w:tcBorders>
            <w:shd w:val="clear" w:color="auto" w:fill="auto"/>
            <w:noWrap/>
            <w:vAlign w:val="bottom"/>
            <w:hideMark/>
          </w:tcPr>
          <w:p w:rsidR="0054036D" w:rsidRPr="0054036D" w:rsidRDefault="0054036D" w:rsidP="0054036D">
            <w:pPr>
              <w:rPr>
                <w:rFonts w:eastAsia="Times New Roman"/>
                <w:color w:val="000000"/>
                <w:sz w:val="22"/>
                <w:szCs w:val="22"/>
              </w:rPr>
            </w:pPr>
            <w:r w:rsidRPr="0054036D">
              <w:rPr>
                <w:rFonts w:eastAsia="Times New Roman"/>
                <w:color w:val="000000"/>
                <w:sz w:val="22"/>
                <w:szCs w:val="22"/>
              </w:rPr>
              <w:t>Firm-Experience</w:t>
            </w:r>
          </w:p>
        </w:tc>
        <w:tc>
          <w:tcPr>
            <w:tcW w:w="993"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3.821</w:t>
            </w:r>
          </w:p>
        </w:tc>
        <w:tc>
          <w:tcPr>
            <w:tcW w:w="1559"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2.98</w:t>
            </w:r>
          </w:p>
        </w:tc>
        <w:tc>
          <w:tcPr>
            <w:tcW w:w="992"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2</w:t>
            </w:r>
          </w:p>
        </w:tc>
        <w:tc>
          <w:tcPr>
            <w:tcW w:w="992"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3</w:t>
            </w:r>
          </w:p>
        </w:tc>
        <w:tc>
          <w:tcPr>
            <w:tcW w:w="1134"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5</w:t>
            </w:r>
          </w:p>
        </w:tc>
      </w:tr>
      <w:tr w:rsidR="0054036D" w:rsidRPr="0054036D" w:rsidTr="0054036D">
        <w:trPr>
          <w:trHeight w:val="300"/>
        </w:trPr>
        <w:tc>
          <w:tcPr>
            <w:tcW w:w="3402" w:type="dxa"/>
            <w:tcBorders>
              <w:top w:val="nil"/>
              <w:left w:val="nil"/>
              <w:bottom w:val="nil"/>
              <w:right w:val="nil"/>
            </w:tcBorders>
            <w:shd w:val="clear" w:color="auto" w:fill="auto"/>
            <w:noWrap/>
            <w:vAlign w:val="bottom"/>
            <w:hideMark/>
          </w:tcPr>
          <w:p w:rsidR="0054036D" w:rsidRPr="0054036D" w:rsidRDefault="0054036D" w:rsidP="0054036D">
            <w:pPr>
              <w:rPr>
                <w:rFonts w:eastAsia="Times New Roman"/>
                <w:color w:val="000000"/>
                <w:sz w:val="22"/>
                <w:szCs w:val="22"/>
              </w:rPr>
            </w:pPr>
            <w:r w:rsidRPr="0054036D">
              <w:rPr>
                <w:rFonts w:eastAsia="Times New Roman"/>
                <w:color w:val="000000"/>
                <w:sz w:val="22"/>
                <w:szCs w:val="22"/>
              </w:rPr>
              <w:t>Number of Companies</w:t>
            </w:r>
          </w:p>
        </w:tc>
        <w:tc>
          <w:tcPr>
            <w:tcW w:w="993"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15.784</w:t>
            </w:r>
          </w:p>
        </w:tc>
        <w:tc>
          <w:tcPr>
            <w:tcW w:w="1559"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7.42</w:t>
            </w:r>
          </w:p>
        </w:tc>
        <w:tc>
          <w:tcPr>
            <w:tcW w:w="992"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11</w:t>
            </w:r>
          </w:p>
        </w:tc>
        <w:tc>
          <w:tcPr>
            <w:tcW w:w="992"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15</w:t>
            </w:r>
          </w:p>
        </w:tc>
        <w:tc>
          <w:tcPr>
            <w:tcW w:w="1134"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19</w:t>
            </w:r>
          </w:p>
        </w:tc>
      </w:tr>
      <w:tr w:rsidR="0054036D" w:rsidRPr="0054036D" w:rsidTr="0054036D">
        <w:trPr>
          <w:trHeight w:val="300"/>
        </w:trPr>
        <w:tc>
          <w:tcPr>
            <w:tcW w:w="3402" w:type="dxa"/>
            <w:tcBorders>
              <w:top w:val="nil"/>
              <w:left w:val="nil"/>
              <w:bottom w:val="nil"/>
              <w:right w:val="nil"/>
            </w:tcBorders>
            <w:shd w:val="clear" w:color="auto" w:fill="auto"/>
            <w:noWrap/>
            <w:vAlign w:val="bottom"/>
            <w:hideMark/>
          </w:tcPr>
          <w:p w:rsidR="0054036D" w:rsidRPr="0054036D" w:rsidRDefault="0054036D" w:rsidP="0054036D">
            <w:pPr>
              <w:rPr>
                <w:rFonts w:eastAsia="Times New Roman"/>
                <w:color w:val="000000"/>
                <w:sz w:val="22"/>
                <w:szCs w:val="22"/>
              </w:rPr>
            </w:pPr>
            <w:r w:rsidRPr="0054036D">
              <w:rPr>
                <w:rFonts w:eastAsia="Times New Roman"/>
                <w:color w:val="000000"/>
                <w:sz w:val="22"/>
                <w:szCs w:val="22"/>
              </w:rPr>
              <w:t>Broker Size (Number of Analysts)</w:t>
            </w:r>
          </w:p>
        </w:tc>
        <w:tc>
          <w:tcPr>
            <w:tcW w:w="993"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54.645</w:t>
            </w:r>
          </w:p>
        </w:tc>
        <w:tc>
          <w:tcPr>
            <w:tcW w:w="1559"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42.961</w:t>
            </w:r>
          </w:p>
        </w:tc>
        <w:tc>
          <w:tcPr>
            <w:tcW w:w="992"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19</w:t>
            </w:r>
          </w:p>
        </w:tc>
        <w:tc>
          <w:tcPr>
            <w:tcW w:w="992"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40</w:t>
            </w:r>
          </w:p>
        </w:tc>
        <w:tc>
          <w:tcPr>
            <w:tcW w:w="1134"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81</w:t>
            </w:r>
          </w:p>
        </w:tc>
      </w:tr>
      <w:tr w:rsidR="0054036D" w:rsidRPr="0054036D" w:rsidTr="0054036D">
        <w:trPr>
          <w:trHeight w:val="300"/>
        </w:trPr>
        <w:tc>
          <w:tcPr>
            <w:tcW w:w="3402" w:type="dxa"/>
            <w:tcBorders>
              <w:top w:val="nil"/>
              <w:left w:val="nil"/>
              <w:bottom w:val="nil"/>
              <w:right w:val="nil"/>
            </w:tcBorders>
            <w:shd w:val="clear" w:color="auto" w:fill="auto"/>
            <w:noWrap/>
            <w:vAlign w:val="bottom"/>
            <w:hideMark/>
          </w:tcPr>
          <w:p w:rsidR="0054036D" w:rsidRPr="0054036D" w:rsidRDefault="0054036D" w:rsidP="0054036D">
            <w:pPr>
              <w:rPr>
                <w:rFonts w:eastAsia="Times New Roman"/>
                <w:color w:val="000000"/>
                <w:sz w:val="22"/>
                <w:szCs w:val="22"/>
              </w:rPr>
            </w:pPr>
            <w:r w:rsidRPr="0054036D">
              <w:rPr>
                <w:rFonts w:eastAsia="Times New Roman"/>
                <w:color w:val="000000"/>
                <w:sz w:val="22"/>
                <w:szCs w:val="22"/>
              </w:rPr>
              <w:t>Number of Industries</w:t>
            </w:r>
          </w:p>
        </w:tc>
        <w:tc>
          <w:tcPr>
            <w:tcW w:w="993"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6.519</w:t>
            </w:r>
          </w:p>
        </w:tc>
        <w:tc>
          <w:tcPr>
            <w:tcW w:w="1559"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4.081</w:t>
            </w:r>
          </w:p>
        </w:tc>
        <w:tc>
          <w:tcPr>
            <w:tcW w:w="992"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4</w:t>
            </w:r>
          </w:p>
        </w:tc>
        <w:tc>
          <w:tcPr>
            <w:tcW w:w="992"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6</w:t>
            </w:r>
          </w:p>
        </w:tc>
        <w:tc>
          <w:tcPr>
            <w:tcW w:w="1134"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9</w:t>
            </w:r>
          </w:p>
        </w:tc>
      </w:tr>
      <w:tr w:rsidR="0054036D" w:rsidRPr="0054036D" w:rsidTr="0054036D">
        <w:trPr>
          <w:trHeight w:val="300"/>
        </w:trPr>
        <w:tc>
          <w:tcPr>
            <w:tcW w:w="3402" w:type="dxa"/>
            <w:tcBorders>
              <w:top w:val="nil"/>
              <w:left w:val="nil"/>
              <w:bottom w:val="nil"/>
              <w:right w:val="nil"/>
            </w:tcBorders>
            <w:shd w:val="clear" w:color="auto" w:fill="auto"/>
            <w:noWrap/>
            <w:vAlign w:val="bottom"/>
            <w:hideMark/>
          </w:tcPr>
          <w:p w:rsidR="0054036D" w:rsidRPr="0054036D" w:rsidRDefault="0054036D" w:rsidP="0054036D">
            <w:pPr>
              <w:rPr>
                <w:rFonts w:eastAsia="Times New Roman"/>
                <w:color w:val="000000"/>
                <w:sz w:val="22"/>
                <w:szCs w:val="22"/>
              </w:rPr>
            </w:pPr>
            <w:r w:rsidRPr="0054036D">
              <w:rPr>
                <w:rFonts w:eastAsia="Times New Roman"/>
                <w:color w:val="000000"/>
                <w:sz w:val="22"/>
                <w:szCs w:val="22"/>
              </w:rPr>
              <w:t>Forecast Frequency</w:t>
            </w:r>
          </w:p>
        </w:tc>
        <w:tc>
          <w:tcPr>
            <w:tcW w:w="993"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4.794</w:t>
            </w:r>
          </w:p>
        </w:tc>
        <w:tc>
          <w:tcPr>
            <w:tcW w:w="1559"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2.675</w:t>
            </w:r>
          </w:p>
        </w:tc>
        <w:tc>
          <w:tcPr>
            <w:tcW w:w="992"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3</w:t>
            </w:r>
          </w:p>
        </w:tc>
        <w:tc>
          <w:tcPr>
            <w:tcW w:w="992"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4</w:t>
            </w:r>
          </w:p>
        </w:tc>
        <w:tc>
          <w:tcPr>
            <w:tcW w:w="1134" w:type="dxa"/>
            <w:tcBorders>
              <w:top w:val="nil"/>
              <w:left w:val="nil"/>
              <w:bottom w:val="nil"/>
              <w:right w:val="nil"/>
            </w:tcBorders>
            <w:shd w:val="clear" w:color="auto" w:fill="auto"/>
            <w:noWrap/>
            <w:vAlign w:val="bottom"/>
            <w:hideMark/>
          </w:tcPr>
          <w:p w:rsidR="0054036D" w:rsidRPr="0054036D" w:rsidRDefault="0054036D" w:rsidP="0054036D">
            <w:pPr>
              <w:jc w:val="center"/>
              <w:rPr>
                <w:rFonts w:eastAsia="Times New Roman"/>
                <w:color w:val="000000"/>
                <w:sz w:val="22"/>
                <w:szCs w:val="22"/>
              </w:rPr>
            </w:pPr>
            <w:r w:rsidRPr="0054036D">
              <w:rPr>
                <w:rFonts w:eastAsia="Times New Roman"/>
                <w:color w:val="000000"/>
                <w:sz w:val="22"/>
                <w:szCs w:val="22"/>
              </w:rPr>
              <w:t>6</w:t>
            </w:r>
          </w:p>
        </w:tc>
      </w:tr>
    </w:tbl>
    <w:p w:rsidR="0054036D" w:rsidRDefault="0054036D" w:rsidP="006D7812">
      <w:pPr>
        <w:jc w:val="both"/>
        <w:rPr>
          <w:sz w:val="22"/>
          <w:szCs w:val="22"/>
        </w:rPr>
      </w:pPr>
    </w:p>
    <w:p w:rsidR="0054036D" w:rsidRDefault="0054036D" w:rsidP="006D7812">
      <w:pPr>
        <w:jc w:val="both"/>
        <w:rPr>
          <w:sz w:val="22"/>
          <w:szCs w:val="22"/>
        </w:rPr>
      </w:pPr>
    </w:p>
    <w:p w:rsidR="0054036D" w:rsidRDefault="0054036D" w:rsidP="006D7812">
      <w:pPr>
        <w:jc w:val="both"/>
        <w:rPr>
          <w:b/>
          <w:sz w:val="22"/>
          <w:szCs w:val="22"/>
        </w:rPr>
      </w:pPr>
      <w:r w:rsidRPr="0054036D">
        <w:rPr>
          <w:b/>
          <w:sz w:val="22"/>
          <w:szCs w:val="22"/>
        </w:rPr>
        <w:t>Panel B: Analysts Characteristics by Reaction Indicator</w:t>
      </w:r>
    </w:p>
    <w:p w:rsidR="0054036D" w:rsidRDefault="0054036D" w:rsidP="006D7812">
      <w:pPr>
        <w:jc w:val="both"/>
        <w:rPr>
          <w:b/>
          <w:sz w:val="22"/>
          <w:szCs w:val="22"/>
        </w:rPr>
      </w:pPr>
    </w:p>
    <w:tbl>
      <w:tblPr>
        <w:tblW w:w="9801" w:type="dxa"/>
        <w:tblInd w:w="108" w:type="dxa"/>
        <w:tblLayout w:type="fixed"/>
        <w:tblLook w:val="04A0"/>
      </w:tblPr>
      <w:tblGrid>
        <w:gridCol w:w="1701"/>
        <w:gridCol w:w="1418"/>
        <w:gridCol w:w="1417"/>
        <w:gridCol w:w="1276"/>
        <w:gridCol w:w="1134"/>
        <w:gridCol w:w="1318"/>
        <w:gridCol w:w="1537"/>
      </w:tblGrid>
      <w:tr w:rsidR="005B73D7" w:rsidRPr="0054036D" w:rsidTr="00E81B8D">
        <w:trPr>
          <w:trHeight w:val="600"/>
        </w:trPr>
        <w:tc>
          <w:tcPr>
            <w:tcW w:w="1701" w:type="dxa"/>
            <w:tcBorders>
              <w:top w:val="nil"/>
              <w:left w:val="nil"/>
              <w:bottom w:val="single" w:sz="4" w:space="0" w:color="auto"/>
              <w:right w:val="nil"/>
            </w:tcBorders>
            <w:shd w:val="clear" w:color="auto" w:fill="auto"/>
            <w:noWrap/>
            <w:vAlign w:val="bottom"/>
            <w:hideMark/>
          </w:tcPr>
          <w:p w:rsidR="005B73D7" w:rsidRPr="0054036D" w:rsidRDefault="005B73D7" w:rsidP="0054036D">
            <w:pPr>
              <w:rPr>
                <w:rFonts w:eastAsia="Times New Roman"/>
                <w:color w:val="000000"/>
                <w:sz w:val="22"/>
                <w:szCs w:val="22"/>
              </w:rPr>
            </w:pPr>
            <w:r w:rsidRPr="0054036D">
              <w:rPr>
                <w:rFonts w:eastAsia="Times New Roman"/>
                <w:color w:val="000000"/>
                <w:sz w:val="22"/>
                <w:szCs w:val="22"/>
              </w:rPr>
              <w:t>CRR Dummy (=1 if CRR</w:t>
            </w:r>
            <w:r w:rsidR="00FC614B">
              <w:rPr>
                <w:rFonts w:eastAsia="Times New Roman"/>
                <w:color w:val="000000"/>
                <w:sz w:val="22"/>
                <w:szCs w:val="22"/>
              </w:rPr>
              <w:t xml:space="preserve"> </w:t>
            </w:r>
            <w:r w:rsidRPr="0054036D">
              <w:rPr>
                <w:rFonts w:eastAsia="Times New Roman"/>
                <w:color w:val="000000"/>
                <w:sz w:val="22"/>
                <w:szCs w:val="22"/>
              </w:rPr>
              <w:t>&gt;</w:t>
            </w:r>
            <w:r w:rsidR="00FC614B">
              <w:rPr>
                <w:rFonts w:eastAsia="Times New Roman"/>
                <w:color w:val="000000"/>
                <w:sz w:val="22"/>
                <w:szCs w:val="22"/>
              </w:rPr>
              <w:t xml:space="preserve"> </w:t>
            </w:r>
            <w:r w:rsidRPr="0054036D">
              <w:rPr>
                <w:rFonts w:eastAsia="Times New Roman"/>
                <w:color w:val="000000"/>
                <w:sz w:val="22"/>
                <w:szCs w:val="22"/>
              </w:rPr>
              <w:t>0)</w:t>
            </w:r>
          </w:p>
        </w:tc>
        <w:tc>
          <w:tcPr>
            <w:tcW w:w="1418" w:type="dxa"/>
            <w:tcBorders>
              <w:top w:val="nil"/>
              <w:left w:val="nil"/>
              <w:bottom w:val="single" w:sz="4" w:space="0" w:color="auto"/>
              <w:right w:val="nil"/>
            </w:tcBorders>
            <w:vAlign w:val="bottom"/>
          </w:tcPr>
          <w:p w:rsidR="005B73D7" w:rsidRDefault="005B73D7" w:rsidP="0054036D">
            <w:pPr>
              <w:jc w:val="center"/>
              <w:rPr>
                <w:rFonts w:eastAsia="Times New Roman"/>
                <w:color w:val="000000"/>
                <w:sz w:val="22"/>
                <w:szCs w:val="22"/>
              </w:rPr>
            </w:pPr>
            <w:r>
              <w:rPr>
                <w:rFonts w:eastAsia="Times New Roman"/>
                <w:color w:val="000000"/>
                <w:sz w:val="22"/>
                <w:szCs w:val="22"/>
              </w:rPr>
              <w:t>Observation</w:t>
            </w:r>
          </w:p>
        </w:tc>
        <w:tc>
          <w:tcPr>
            <w:tcW w:w="1417" w:type="dxa"/>
            <w:tcBorders>
              <w:top w:val="nil"/>
              <w:left w:val="nil"/>
              <w:bottom w:val="single" w:sz="4" w:space="0" w:color="auto"/>
              <w:right w:val="nil"/>
            </w:tcBorders>
            <w:shd w:val="clear" w:color="auto" w:fill="auto"/>
            <w:vAlign w:val="bottom"/>
            <w:hideMark/>
          </w:tcPr>
          <w:p w:rsidR="005B73D7" w:rsidRPr="0054036D" w:rsidRDefault="005B73D7" w:rsidP="0054036D">
            <w:pPr>
              <w:jc w:val="center"/>
              <w:rPr>
                <w:rFonts w:eastAsia="Times New Roman"/>
                <w:color w:val="000000"/>
                <w:sz w:val="22"/>
                <w:szCs w:val="22"/>
              </w:rPr>
            </w:pPr>
            <w:r w:rsidRPr="0054036D">
              <w:rPr>
                <w:rFonts w:eastAsia="Times New Roman"/>
                <w:color w:val="000000"/>
                <w:sz w:val="22"/>
                <w:szCs w:val="22"/>
              </w:rPr>
              <w:t>Firm-Experience</w:t>
            </w:r>
          </w:p>
        </w:tc>
        <w:tc>
          <w:tcPr>
            <w:tcW w:w="1276" w:type="dxa"/>
            <w:tcBorders>
              <w:top w:val="nil"/>
              <w:left w:val="nil"/>
              <w:bottom w:val="single" w:sz="4" w:space="0" w:color="auto"/>
              <w:right w:val="nil"/>
            </w:tcBorders>
            <w:shd w:val="clear" w:color="auto" w:fill="auto"/>
            <w:vAlign w:val="bottom"/>
            <w:hideMark/>
          </w:tcPr>
          <w:p w:rsidR="005B73D7" w:rsidRPr="0054036D" w:rsidRDefault="005B73D7" w:rsidP="0054036D">
            <w:pPr>
              <w:jc w:val="center"/>
              <w:rPr>
                <w:rFonts w:eastAsia="Times New Roman"/>
                <w:color w:val="000000"/>
                <w:sz w:val="22"/>
                <w:szCs w:val="22"/>
              </w:rPr>
            </w:pPr>
            <w:r w:rsidRPr="0054036D">
              <w:rPr>
                <w:rFonts w:eastAsia="Times New Roman"/>
                <w:color w:val="000000"/>
                <w:sz w:val="22"/>
                <w:szCs w:val="22"/>
              </w:rPr>
              <w:t>Number of Companies</w:t>
            </w:r>
          </w:p>
        </w:tc>
        <w:tc>
          <w:tcPr>
            <w:tcW w:w="1134" w:type="dxa"/>
            <w:tcBorders>
              <w:top w:val="nil"/>
              <w:left w:val="nil"/>
              <w:bottom w:val="single" w:sz="4" w:space="0" w:color="auto"/>
              <w:right w:val="nil"/>
            </w:tcBorders>
            <w:shd w:val="clear" w:color="auto" w:fill="auto"/>
            <w:vAlign w:val="bottom"/>
            <w:hideMark/>
          </w:tcPr>
          <w:p w:rsidR="005B73D7" w:rsidRPr="0054036D" w:rsidRDefault="005B73D7" w:rsidP="0054036D">
            <w:pPr>
              <w:jc w:val="center"/>
              <w:rPr>
                <w:rFonts w:eastAsia="Times New Roman"/>
                <w:color w:val="000000"/>
                <w:sz w:val="22"/>
                <w:szCs w:val="22"/>
              </w:rPr>
            </w:pPr>
            <w:r>
              <w:rPr>
                <w:rFonts w:eastAsia="Times New Roman"/>
                <w:color w:val="000000"/>
                <w:sz w:val="22"/>
                <w:szCs w:val="22"/>
              </w:rPr>
              <w:t>B</w:t>
            </w:r>
            <w:r w:rsidRPr="0054036D">
              <w:rPr>
                <w:rFonts w:eastAsia="Times New Roman"/>
                <w:color w:val="000000"/>
                <w:sz w:val="22"/>
                <w:szCs w:val="22"/>
              </w:rPr>
              <w:t xml:space="preserve">roker </w:t>
            </w:r>
            <w:r>
              <w:rPr>
                <w:rFonts w:eastAsia="Times New Roman"/>
                <w:color w:val="000000"/>
                <w:sz w:val="22"/>
                <w:szCs w:val="22"/>
              </w:rPr>
              <w:t>S</w:t>
            </w:r>
            <w:r w:rsidRPr="0054036D">
              <w:rPr>
                <w:rFonts w:eastAsia="Times New Roman"/>
                <w:color w:val="000000"/>
                <w:sz w:val="22"/>
                <w:szCs w:val="22"/>
              </w:rPr>
              <w:t>ize</w:t>
            </w:r>
          </w:p>
        </w:tc>
        <w:tc>
          <w:tcPr>
            <w:tcW w:w="1318" w:type="dxa"/>
            <w:tcBorders>
              <w:top w:val="nil"/>
              <w:left w:val="nil"/>
              <w:bottom w:val="single" w:sz="4" w:space="0" w:color="auto"/>
              <w:right w:val="nil"/>
            </w:tcBorders>
            <w:shd w:val="clear" w:color="auto" w:fill="auto"/>
            <w:vAlign w:val="bottom"/>
            <w:hideMark/>
          </w:tcPr>
          <w:p w:rsidR="005B73D7" w:rsidRPr="0054036D" w:rsidRDefault="005B73D7" w:rsidP="0054036D">
            <w:pPr>
              <w:jc w:val="center"/>
              <w:rPr>
                <w:rFonts w:eastAsia="Times New Roman"/>
                <w:color w:val="000000"/>
                <w:sz w:val="22"/>
                <w:szCs w:val="22"/>
              </w:rPr>
            </w:pPr>
            <w:r w:rsidRPr="0054036D">
              <w:rPr>
                <w:rFonts w:eastAsia="Times New Roman"/>
                <w:color w:val="000000"/>
                <w:sz w:val="22"/>
                <w:szCs w:val="22"/>
              </w:rPr>
              <w:t>Number of Industries</w:t>
            </w:r>
          </w:p>
        </w:tc>
        <w:tc>
          <w:tcPr>
            <w:tcW w:w="1537" w:type="dxa"/>
            <w:tcBorders>
              <w:top w:val="nil"/>
              <w:left w:val="nil"/>
              <w:bottom w:val="single" w:sz="4" w:space="0" w:color="auto"/>
              <w:right w:val="nil"/>
            </w:tcBorders>
            <w:shd w:val="clear" w:color="auto" w:fill="auto"/>
            <w:vAlign w:val="bottom"/>
            <w:hideMark/>
          </w:tcPr>
          <w:p w:rsidR="005B73D7" w:rsidRPr="0054036D" w:rsidRDefault="005B73D7" w:rsidP="0054036D">
            <w:pPr>
              <w:jc w:val="center"/>
              <w:rPr>
                <w:rFonts w:eastAsia="Times New Roman"/>
                <w:color w:val="000000"/>
                <w:sz w:val="22"/>
                <w:szCs w:val="22"/>
              </w:rPr>
            </w:pPr>
            <w:r w:rsidRPr="0054036D">
              <w:rPr>
                <w:rFonts w:eastAsia="Times New Roman"/>
                <w:color w:val="000000"/>
                <w:sz w:val="22"/>
                <w:szCs w:val="22"/>
              </w:rPr>
              <w:t>Forecast Frequency</w:t>
            </w:r>
          </w:p>
        </w:tc>
      </w:tr>
      <w:tr w:rsidR="005B73D7" w:rsidRPr="0054036D" w:rsidTr="00E81B8D">
        <w:trPr>
          <w:trHeight w:val="300"/>
        </w:trPr>
        <w:tc>
          <w:tcPr>
            <w:tcW w:w="1701" w:type="dxa"/>
            <w:tcBorders>
              <w:top w:val="single" w:sz="4" w:space="0" w:color="auto"/>
              <w:left w:val="nil"/>
              <w:bottom w:val="nil"/>
              <w:right w:val="nil"/>
            </w:tcBorders>
            <w:shd w:val="clear" w:color="auto" w:fill="auto"/>
            <w:noWrap/>
            <w:vAlign w:val="bottom"/>
            <w:hideMark/>
          </w:tcPr>
          <w:p w:rsidR="005B73D7" w:rsidRPr="0054036D" w:rsidRDefault="005B73D7" w:rsidP="000B372A">
            <w:pPr>
              <w:rPr>
                <w:rFonts w:eastAsia="Times New Roman"/>
                <w:color w:val="000000"/>
                <w:sz w:val="22"/>
                <w:szCs w:val="22"/>
              </w:rPr>
            </w:pPr>
            <w:r w:rsidRPr="0054036D">
              <w:rPr>
                <w:rFonts w:eastAsia="Times New Roman"/>
                <w:color w:val="000000"/>
                <w:sz w:val="22"/>
                <w:szCs w:val="22"/>
              </w:rPr>
              <w:t>0</w:t>
            </w:r>
          </w:p>
        </w:tc>
        <w:tc>
          <w:tcPr>
            <w:tcW w:w="1418" w:type="dxa"/>
            <w:tcBorders>
              <w:top w:val="single" w:sz="4" w:space="0" w:color="auto"/>
              <w:left w:val="nil"/>
              <w:bottom w:val="nil"/>
              <w:right w:val="nil"/>
            </w:tcBorders>
            <w:vAlign w:val="bottom"/>
          </w:tcPr>
          <w:p w:rsidR="005B73D7" w:rsidRPr="0054036D" w:rsidRDefault="005B73D7" w:rsidP="0054036D">
            <w:pPr>
              <w:jc w:val="center"/>
              <w:rPr>
                <w:rFonts w:eastAsia="Times New Roman"/>
                <w:color w:val="000000"/>
                <w:sz w:val="22"/>
                <w:szCs w:val="22"/>
              </w:rPr>
            </w:pPr>
            <w:r>
              <w:rPr>
                <w:rFonts w:eastAsia="Times New Roman"/>
                <w:color w:val="000000"/>
                <w:sz w:val="22"/>
                <w:szCs w:val="22"/>
              </w:rPr>
              <w:t>25,039</w:t>
            </w:r>
          </w:p>
        </w:tc>
        <w:tc>
          <w:tcPr>
            <w:tcW w:w="1417" w:type="dxa"/>
            <w:tcBorders>
              <w:top w:val="single" w:sz="4" w:space="0" w:color="auto"/>
              <w:left w:val="nil"/>
              <w:bottom w:val="nil"/>
              <w:right w:val="nil"/>
            </w:tcBorders>
            <w:shd w:val="clear" w:color="auto" w:fill="auto"/>
            <w:noWrap/>
            <w:vAlign w:val="bottom"/>
            <w:hideMark/>
          </w:tcPr>
          <w:p w:rsidR="005B73D7" w:rsidRPr="0054036D" w:rsidRDefault="005B73D7" w:rsidP="0054036D">
            <w:pPr>
              <w:jc w:val="center"/>
              <w:rPr>
                <w:rFonts w:eastAsia="Times New Roman"/>
                <w:color w:val="000000"/>
                <w:sz w:val="22"/>
                <w:szCs w:val="22"/>
              </w:rPr>
            </w:pPr>
            <w:r w:rsidRPr="0054036D">
              <w:rPr>
                <w:rFonts w:eastAsia="Times New Roman"/>
                <w:color w:val="000000"/>
                <w:sz w:val="22"/>
                <w:szCs w:val="22"/>
              </w:rPr>
              <w:t>3.006</w:t>
            </w:r>
          </w:p>
        </w:tc>
        <w:tc>
          <w:tcPr>
            <w:tcW w:w="1276" w:type="dxa"/>
            <w:tcBorders>
              <w:top w:val="single" w:sz="4" w:space="0" w:color="auto"/>
              <w:left w:val="nil"/>
              <w:bottom w:val="nil"/>
              <w:right w:val="nil"/>
            </w:tcBorders>
            <w:shd w:val="clear" w:color="auto" w:fill="auto"/>
            <w:noWrap/>
            <w:vAlign w:val="bottom"/>
            <w:hideMark/>
          </w:tcPr>
          <w:p w:rsidR="005B73D7" w:rsidRPr="0054036D" w:rsidRDefault="005B73D7" w:rsidP="0054036D">
            <w:pPr>
              <w:jc w:val="center"/>
              <w:rPr>
                <w:rFonts w:eastAsia="Times New Roman"/>
                <w:color w:val="000000"/>
                <w:sz w:val="22"/>
                <w:szCs w:val="22"/>
              </w:rPr>
            </w:pPr>
            <w:r w:rsidRPr="0054036D">
              <w:rPr>
                <w:rFonts w:eastAsia="Times New Roman"/>
                <w:color w:val="000000"/>
                <w:sz w:val="22"/>
                <w:szCs w:val="22"/>
              </w:rPr>
              <w:t>15.309</w:t>
            </w:r>
          </w:p>
        </w:tc>
        <w:tc>
          <w:tcPr>
            <w:tcW w:w="1134" w:type="dxa"/>
            <w:tcBorders>
              <w:top w:val="single" w:sz="4" w:space="0" w:color="auto"/>
              <w:left w:val="nil"/>
              <w:bottom w:val="nil"/>
              <w:right w:val="nil"/>
            </w:tcBorders>
            <w:shd w:val="clear" w:color="auto" w:fill="auto"/>
            <w:noWrap/>
            <w:vAlign w:val="bottom"/>
            <w:hideMark/>
          </w:tcPr>
          <w:p w:rsidR="005B73D7" w:rsidRPr="0054036D" w:rsidRDefault="005B73D7" w:rsidP="0054036D">
            <w:pPr>
              <w:jc w:val="center"/>
              <w:rPr>
                <w:rFonts w:eastAsia="Times New Roman"/>
                <w:color w:val="000000"/>
                <w:sz w:val="22"/>
                <w:szCs w:val="22"/>
              </w:rPr>
            </w:pPr>
            <w:r w:rsidRPr="0054036D">
              <w:rPr>
                <w:rFonts w:eastAsia="Times New Roman"/>
                <w:color w:val="000000"/>
                <w:sz w:val="22"/>
                <w:szCs w:val="22"/>
              </w:rPr>
              <w:t>53.019</w:t>
            </w:r>
          </w:p>
        </w:tc>
        <w:tc>
          <w:tcPr>
            <w:tcW w:w="1318" w:type="dxa"/>
            <w:tcBorders>
              <w:top w:val="single" w:sz="4" w:space="0" w:color="auto"/>
              <w:left w:val="nil"/>
              <w:bottom w:val="nil"/>
              <w:right w:val="nil"/>
            </w:tcBorders>
            <w:shd w:val="clear" w:color="auto" w:fill="auto"/>
            <w:noWrap/>
            <w:vAlign w:val="bottom"/>
            <w:hideMark/>
          </w:tcPr>
          <w:p w:rsidR="005B73D7" w:rsidRPr="0054036D" w:rsidRDefault="005B73D7" w:rsidP="0054036D">
            <w:pPr>
              <w:jc w:val="center"/>
              <w:rPr>
                <w:rFonts w:eastAsia="Times New Roman"/>
                <w:color w:val="000000"/>
                <w:sz w:val="22"/>
                <w:szCs w:val="22"/>
              </w:rPr>
            </w:pPr>
            <w:r w:rsidRPr="0054036D">
              <w:rPr>
                <w:rFonts w:eastAsia="Times New Roman"/>
                <w:color w:val="000000"/>
                <w:sz w:val="22"/>
                <w:szCs w:val="22"/>
              </w:rPr>
              <w:t>6.593</w:t>
            </w:r>
          </w:p>
        </w:tc>
        <w:tc>
          <w:tcPr>
            <w:tcW w:w="1537" w:type="dxa"/>
            <w:tcBorders>
              <w:top w:val="single" w:sz="4" w:space="0" w:color="auto"/>
              <w:left w:val="nil"/>
              <w:bottom w:val="nil"/>
              <w:right w:val="nil"/>
            </w:tcBorders>
            <w:shd w:val="clear" w:color="auto" w:fill="auto"/>
            <w:noWrap/>
            <w:vAlign w:val="bottom"/>
            <w:hideMark/>
          </w:tcPr>
          <w:p w:rsidR="005B73D7" w:rsidRPr="0054036D" w:rsidRDefault="005B73D7" w:rsidP="0054036D">
            <w:pPr>
              <w:jc w:val="center"/>
              <w:rPr>
                <w:rFonts w:eastAsia="Times New Roman"/>
                <w:color w:val="000000"/>
                <w:sz w:val="22"/>
                <w:szCs w:val="22"/>
              </w:rPr>
            </w:pPr>
            <w:r w:rsidRPr="0054036D">
              <w:rPr>
                <w:rFonts w:eastAsia="Times New Roman"/>
                <w:color w:val="000000"/>
                <w:sz w:val="22"/>
                <w:szCs w:val="22"/>
              </w:rPr>
              <w:t>4.348</w:t>
            </w:r>
          </w:p>
        </w:tc>
      </w:tr>
      <w:tr w:rsidR="005B73D7" w:rsidRPr="0054036D" w:rsidTr="00E81B8D">
        <w:trPr>
          <w:trHeight w:val="300"/>
        </w:trPr>
        <w:tc>
          <w:tcPr>
            <w:tcW w:w="1701" w:type="dxa"/>
            <w:tcBorders>
              <w:top w:val="nil"/>
              <w:left w:val="nil"/>
              <w:bottom w:val="nil"/>
              <w:right w:val="nil"/>
            </w:tcBorders>
            <w:shd w:val="clear" w:color="auto" w:fill="auto"/>
            <w:noWrap/>
            <w:vAlign w:val="bottom"/>
            <w:hideMark/>
          </w:tcPr>
          <w:p w:rsidR="005B73D7" w:rsidRPr="0054036D" w:rsidRDefault="005B73D7" w:rsidP="000B372A">
            <w:pPr>
              <w:rPr>
                <w:rFonts w:eastAsia="Times New Roman"/>
                <w:color w:val="000000"/>
                <w:sz w:val="22"/>
                <w:szCs w:val="22"/>
              </w:rPr>
            </w:pPr>
            <w:r w:rsidRPr="0054036D">
              <w:rPr>
                <w:rFonts w:eastAsia="Times New Roman"/>
                <w:color w:val="000000"/>
                <w:sz w:val="22"/>
                <w:szCs w:val="22"/>
              </w:rPr>
              <w:t>1</w:t>
            </w:r>
          </w:p>
        </w:tc>
        <w:tc>
          <w:tcPr>
            <w:tcW w:w="1418" w:type="dxa"/>
            <w:tcBorders>
              <w:top w:val="nil"/>
              <w:left w:val="nil"/>
              <w:bottom w:val="nil"/>
              <w:right w:val="nil"/>
            </w:tcBorders>
            <w:vAlign w:val="bottom"/>
          </w:tcPr>
          <w:p w:rsidR="005B73D7" w:rsidRPr="000B372A" w:rsidRDefault="000B372A" w:rsidP="0054036D">
            <w:pPr>
              <w:jc w:val="center"/>
              <w:rPr>
                <w:rFonts w:eastAsia="Times New Roman"/>
                <w:color w:val="000000"/>
                <w:sz w:val="22"/>
                <w:szCs w:val="22"/>
              </w:rPr>
            </w:pPr>
            <w:r w:rsidRPr="000B372A">
              <w:rPr>
                <w:rFonts w:eastAsia="Times New Roman"/>
                <w:color w:val="000000"/>
                <w:sz w:val="22"/>
                <w:szCs w:val="22"/>
              </w:rPr>
              <w:t>45,502</w:t>
            </w:r>
          </w:p>
        </w:tc>
        <w:tc>
          <w:tcPr>
            <w:tcW w:w="1417" w:type="dxa"/>
            <w:tcBorders>
              <w:top w:val="nil"/>
              <w:left w:val="nil"/>
              <w:bottom w:val="nil"/>
              <w:right w:val="nil"/>
            </w:tcBorders>
            <w:shd w:val="clear" w:color="auto" w:fill="auto"/>
            <w:noWrap/>
            <w:vAlign w:val="bottom"/>
            <w:hideMark/>
          </w:tcPr>
          <w:p w:rsidR="005B73D7" w:rsidRPr="0054036D" w:rsidRDefault="005B73D7" w:rsidP="0054036D">
            <w:pPr>
              <w:jc w:val="center"/>
              <w:rPr>
                <w:rFonts w:eastAsia="Times New Roman"/>
                <w:color w:val="000000"/>
                <w:sz w:val="22"/>
                <w:szCs w:val="22"/>
                <w:u w:val="single"/>
              </w:rPr>
            </w:pPr>
            <w:r w:rsidRPr="0054036D">
              <w:rPr>
                <w:rFonts w:eastAsia="Times New Roman"/>
                <w:color w:val="000000"/>
                <w:sz w:val="22"/>
                <w:szCs w:val="22"/>
                <w:u w:val="single"/>
              </w:rPr>
              <w:t>4.26</w:t>
            </w:r>
          </w:p>
        </w:tc>
        <w:tc>
          <w:tcPr>
            <w:tcW w:w="1276" w:type="dxa"/>
            <w:tcBorders>
              <w:top w:val="nil"/>
              <w:left w:val="nil"/>
              <w:bottom w:val="nil"/>
              <w:right w:val="nil"/>
            </w:tcBorders>
            <w:shd w:val="clear" w:color="auto" w:fill="auto"/>
            <w:noWrap/>
            <w:vAlign w:val="bottom"/>
            <w:hideMark/>
          </w:tcPr>
          <w:p w:rsidR="005B73D7" w:rsidRPr="0054036D" w:rsidRDefault="005B73D7" w:rsidP="0054036D">
            <w:pPr>
              <w:jc w:val="center"/>
              <w:rPr>
                <w:rFonts w:eastAsia="Times New Roman"/>
                <w:color w:val="000000"/>
                <w:sz w:val="22"/>
                <w:szCs w:val="22"/>
                <w:u w:val="single"/>
              </w:rPr>
            </w:pPr>
            <w:r w:rsidRPr="0054036D">
              <w:rPr>
                <w:rFonts w:eastAsia="Times New Roman"/>
                <w:color w:val="000000"/>
                <w:sz w:val="22"/>
                <w:szCs w:val="22"/>
                <w:u w:val="single"/>
              </w:rPr>
              <w:t>16.04</w:t>
            </w:r>
          </w:p>
        </w:tc>
        <w:tc>
          <w:tcPr>
            <w:tcW w:w="1134" w:type="dxa"/>
            <w:tcBorders>
              <w:top w:val="nil"/>
              <w:left w:val="nil"/>
              <w:bottom w:val="nil"/>
              <w:right w:val="nil"/>
            </w:tcBorders>
            <w:shd w:val="clear" w:color="auto" w:fill="auto"/>
            <w:noWrap/>
            <w:vAlign w:val="bottom"/>
            <w:hideMark/>
          </w:tcPr>
          <w:p w:rsidR="005B73D7" w:rsidRPr="0054036D" w:rsidRDefault="005B73D7" w:rsidP="0054036D">
            <w:pPr>
              <w:jc w:val="center"/>
              <w:rPr>
                <w:rFonts w:eastAsia="Times New Roman"/>
                <w:color w:val="000000"/>
                <w:sz w:val="22"/>
                <w:szCs w:val="22"/>
                <w:u w:val="single"/>
              </w:rPr>
            </w:pPr>
            <w:r w:rsidRPr="0054036D">
              <w:rPr>
                <w:rFonts w:eastAsia="Times New Roman"/>
                <w:color w:val="000000"/>
                <w:sz w:val="22"/>
                <w:szCs w:val="22"/>
                <w:u w:val="single"/>
              </w:rPr>
              <w:t>55.52</w:t>
            </w:r>
          </w:p>
        </w:tc>
        <w:tc>
          <w:tcPr>
            <w:tcW w:w="1318" w:type="dxa"/>
            <w:tcBorders>
              <w:top w:val="nil"/>
              <w:left w:val="nil"/>
              <w:bottom w:val="nil"/>
              <w:right w:val="nil"/>
            </w:tcBorders>
            <w:shd w:val="clear" w:color="auto" w:fill="auto"/>
            <w:noWrap/>
            <w:vAlign w:val="bottom"/>
            <w:hideMark/>
          </w:tcPr>
          <w:p w:rsidR="005B73D7" w:rsidRPr="0054036D" w:rsidRDefault="005B73D7" w:rsidP="0054036D">
            <w:pPr>
              <w:jc w:val="center"/>
              <w:rPr>
                <w:rFonts w:eastAsia="Times New Roman"/>
                <w:color w:val="000000"/>
                <w:sz w:val="22"/>
                <w:szCs w:val="22"/>
                <w:u w:val="single"/>
              </w:rPr>
            </w:pPr>
            <w:r w:rsidRPr="0054036D">
              <w:rPr>
                <w:rFonts w:eastAsia="Times New Roman"/>
                <w:color w:val="000000"/>
                <w:sz w:val="22"/>
                <w:szCs w:val="22"/>
                <w:u w:val="single"/>
              </w:rPr>
              <w:t>6.479</w:t>
            </w:r>
          </w:p>
        </w:tc>
        <w:tc>
          <w:tcPr>
            <w:tcW w:w="1537" w:type="dxa"/>
            <w:tcBorders>
              <w:top w:val="nil"/>
              <w:left w:val="nil"/>
              <w:bottom w:val="nil"/>
              <w:right w:val="nil"/>
            </w:tcBorders>
            <w:shd w:val="clear" w:color="auto" w:fill="auto"/>
            <w:noWrap/>
            <w:vAlign w:val="bottom"/>
            <w:hideMark/>
          </w:tcPr>
          <w:p w:rsidR="005B73D7" w:rsidRPr="0054036D" w:rsidRDefault="005B73D7" w:rsidP="0054036D">
            <w:pPr>
              <w:jc w:val="center"/>
              <w:rPr>
                <w:rFonts w:eastAsia="Times New Roman"/>
                <w:color w:val="000000"/>
                <w:sz w:val="22"/>
                <w:szCs w:val="22"/>
                <w:u w:val="single"/>
              </w:rPr>
            </w:pPr>
            <w:r w:rsidRPr="0054036D">
              <w:rPr>
                <w:rFonts w:eastAsia="Times New Roman"/>
                <w:color w:val="000000"/>
                <w:sz w:val="22"/>
                <w:szCs w:val="22"/>
                <w:u w:val="single"/>
              </w:rPr>
              <w:t>5.034</w:t>
            </w:r>
          </w:p>
        </w:tc>
      </w:tr>
      <w:tr w:rsidR="005B73D7" w:rsidRPr="0054036D" w:rsidTr="00E81B8D">
        <w:trPr>
          <w:trHeight w:val="300"/>
        </w:trPr>
        <w:tc>
          <w:tcPr>
            <w:tcW w:w="1701" w:type="dxa"/>
            <w:tcBorders>
              <w:top w:val="nil"/>
              <w:left w:val="nil"/>
              <w:bottom w:val="nil"/>
              <w:right w:val="nil"/>
            </w:tcBorders>
            <w:shd w:val="clear" w:color="auto" w:fill="auto"/>
            <w:noWrap/>
            <w:vAlign w:val="bottom"/>
            <w:hideMark/>
          </w:tcPr>
          <w:p w:rsidR="005B73D7" w:rsidRPr="0054036D" w:rsidRDefault="005B73D7" w:rsidP="0054036D">
            <w:pPr>
              <w:rPr>
                <w:rFonts w:eastAsia="Times New Roman"/>
                <w:color w:val="000000"/>
                <w:sz w:val="22"/>
                <w:szCs w:val="22"/>
              </w:rPr>
            </w:pPr>
            <w:r>
              <w:rPr>
                <w:rFonts w:eastAsia="Times New Roman"/>
                <w:color w:val="000000"/>
                <w:sz w:val="22"/>
                <w:szCs w:val="22"/>
              </w:rPr>
              <w:t>Difference</w:t>
            </w:r>
          </w:p>
        </w:tc>
        <w:tc>
          <w:tcPr>
            <w:tcW w:w="1418" w:type="dxa"/>
            <w:tcBorders>
              <w:top w:val="nil"/>
              <w:left w:val="nil"/>
              <w:bottom w:val="nil"/>
              <w:right w:val="nil"/>
            </w:tcBorders>
            <w:vAlign w:val="bottom"/>
          </w:tcPr>
          <w:p w:rsidR="005B73D7" w:rsidRPr="0054036D" w:rsidRDefault="005B73D7" w:rsidP="0054036D">
            <w:pPr>
              <w:jc w:val="center"/>
              <w:rPr>
                <w:rFonts w:eastAsia="Times New Roman"/>
                <w:color w:val="000000"/>
                <w:sz w:val="22"/>
                <w:szCs w:val="22"/>
              </w:rPr>
            </w:pPr>
          </w:p>
        </w:tc>
        <w:tc>
          <w:tcPr>
            <w:tcW w:w="1417" w:type="dxa"/>
            <w:tcBorders>
              <w:top w:val="nil"/>
              <w:left w:val="nil"/>
              <w:bottom w:val="nil"/>
              <w:right w:val="nil"/>
            </w:tcBorders>
            <w:shd w:val="clear" w:color="auto" w:fill="auto"/>
            <w:noWrap/>
            <w:vAlign w:val="bottom"/>
            <w:hideMark/>
          </w:tcPr>
          <w:p w:rsidR="005B73D7" w:rsidRPr="0054036D" w:rsidRDefault="005B73D7" w:rsidP="0054036D">
            <w:pPr>
              <w:jc w:val="center"/>
              <w:rPr>
                <w:rFonts w:eastAsia="Times New Roman"/>
                <w:color w:val="000000"/>
                <w:sz w:val="22"/>
                <w:szCs w:val="22"/>
              </w:rPr>
            </w:pPr>
            <w:r w:rsidRPr="0054036D">
              <w:rPr>
                <w:rFonts w:eastAsia="Times New Roman"/>
                <w:color w:val="000000"/>
                <w:sz w:val="22"/>
                <w:szCs w:val="22"/>
              </w:rPr>
              <w:t>1.254</w:t>
            </w:r>
            <w:r w:rsidR="00E81B8D">
              <w:rPr>
                <w:rFonts w:eastAsia="Times New Roman"/>
                <w:color w:val="000000"/>
                <w:sz w:val="22"/>
                <w:szCs w:val="22"/>
              </w:rPr>
              <w:t>***</w:t>
            </w:r>
          </w:p>
        </w:tc>
        <w:tc>
          <w:tcPr>
            <w:tcW w:w="1276" w:type="dxa"/>
            <w:tcBorders>
              <w:top w:val="nil"/>
              <w:left w:val="nil"/>
              <w:bottom w:val="nil"/>
              <w:right w:val="nil"/>
            </w:tcBorders>
            <w:shd w:val="clear" w:color="auto" w:fill="auto"/>
            <w:noWrap/>
            <w:vAlign w:val="bottom"/>
            <w:hideMark/>
          </w:tcPr>
          <w:p w:rsidR="005B73D7" w:rsidRPr="0054036D" w:rsidRDefault="005B73D7" w:rsidP="0054036D">
            <w:pPr>
              <w:jc w:val="center"/>
              <w:rPr>
                <w:rFonts w:eastAsia="Times New Roman"/>
                <w:color w:val="000000"/>
                <w:sz w:val="22"/>
                <w:szCs w:val="22"/>
              </w:rPr>
            </w:pPr>
            <w:r w:rsidRPr="0054036D">
              <w:rPr>
                <w:rFonts w:eastAsia="Times New Roman"/>
                <w:color w:val="000000"/>
                <w:sz w:val="22"/>
                <w:szCs w:val="22"/>
              </w:rPr>
              <w:t>0.731</w:t>
            </w:r>
            <w:r w:rsidR="00E81B8D">
              <w:rPr>
                <w:rFonts w:eastAsia="Times New Roman"/>
                <w:color w:val="000000"/>
                <w:sz w:val="22"/>
                <w:szCs w:val="22"/>
              </w:rPr>
              <w:t>***</w:t>
            </w:r>
          </w:p>
        </w:tc>
        <w:tc>
          <w:tcPr>
            <w:tcW w:w="1134" w:type="dxa"/>
            <w:tcBorders>
              <w:top w:val="nil"/>
              <w:left w:val="nil"/>
              <w:bottom w:val="nil"/>
              <w:right w:val="nil"/>
            </w:tcBorders>
            <w:shd w:val="clear" w:color="auto" w:fill="auto"/>
            <w:noWrap/>
            <w:vAlign w:val="bottom"/>
            <w:hideMark/>
          </w:tcPr>
          <w:p w:rsidR="005B73D7" w:rsidRPr="0054036D" w:rsidRDefault="005B73D7" w:rsidP="0054036D">
            <w:pPr>
              <w:jc w:val="center"/>
              <w:rPr>
                <w:rFonts w:eastAsia="Times New Roman"/>
                <w:color w:val="000000"/>
                <w:sz w:val="22"/>
                <w:szCs w:val="22"/>
              </w:rPr>
            </w:pPr>
            <w:r w:rsidRPr="0054036D">
              <w:rPr>
                <w:rFonts w:eastAsia="Times New Roman"/>
                <w:color w:val="000000"/>
                <w:sz w:val="22"/>
                <w:szCs w:val="22"/>
              </w:rPr>
              <w:t>2.501</w:t>
            </w:r>
            <w:r w:rsidR="00E81B8D">
              <w:rPr>
                <w:rFonts w:eastAsia="Times New Roman"/>
                <w:color w:val="000000"/>
                <w:sz w:val="22"/>
                <w:szCs w:val="22"/>
              </w:rPr>
              <w:t>***</w:t>
            </w:r>
          </w:p>
        </w:tc>
        <w:tc>
          <w:tcPr>
            <w:tcW w:w="1318" w:type="dxa"/>
            <w:tcBorders>
              <w:top w:val="nil"/>
              <w:left w:val="nil"/>
              <w:bottom w:val="nil"/>
              <w:right w:val="nil"/>
            </w:tcBorders>
            <w:shd w:val="clear" w:color="auto" w:fill="auto"/>
            <w:noWrap/>
            <w:vAlign w:val="bottom"/>
            <w:hideMark/>
          </w:tcPr>
          <w:p w:rsidR="005B73D7" w:rsidRPr="0054036D" w:rsidRDefault="005B73D7" w:rsidP="0054036D">
            <w:pPr>
              <w:jc w:val="center"/>
              <w:rPr>
                <w:rFonts w:eastAsia="Times New Roman"/>
                <w:color w:val="000000"/>
                <w:sz w:val="22"/>
                <w:szCs w:val="22"/>
              </w:rPr>
            </w:pPr>
            <w:r w:rsidRPr="0054036D">
              <w:rPr>
                <w:rFonts w:eastAsia="Times New Roman"/>
                <w:color w:val="000000"/>
                <w:sz w:val="22"/>
                <w:szCs w:val="22"/>
              </w:rPr>
              <w:t>-0.114</w:t>
            </w:r>
            <w:r w:rsidR="00E81B8D">
              <w:rPr>
                <w:rFonts w:eastAsia="Times New Roman"/>
                <w:color w:val="000000"/>
                <w:sz w:val="22"/>
                <w:szCs w:val="22"/>
              </w:rPr>
              <w:t>***</w:t>
            </w:r>
          </w:p>
        </w:tc>
        <w:tc>
          <w:tcPr>
            <w:tcW w:w="1537" w:type="dxa"/>
            <w:tcBorders>
              <w:top w:val="nil"/>
              <w:left w:val="nil"/>
              <w:bottom w:val="nil"/>
              <w:right w:val="nil"/>
            </w:tcBorders>
            <w:shd w:val="clear" w:color="auto" w:fill="auto"/>
            <w:noWrap/>
            <w:vAlign w:val="bottom"/>
            <w:hideMark/>
          </w:tcPr>
          <w:p w:rsidR="005B73D7" w:rsidRPr="0054036D" w:rsidRDefault="005B73D7" w:rsidP="0054036D">
            <w:pPr>
              <w:jc w:val="center"/>
              <w:rPr>
                <w:rFonts w:eastAsia="Times New Roman"/>
                <w:color w:val="000000"/>
                <w:sz w:val="22"/>
                <w:szCs w:val="22"/>
              </w:rPr>
            </w:pPr>
            <w:r w:rsidRPr="0054036D">
              <w:rPr>
                <w:rFonts w:eastAsia="Times New Roman"/>
                <w:color w:val="000000"/>
                <w:sz w:val="22"/>
                <w:szCs w:val="22"/>
              </w:rPr>
              <w:t>0.686</w:t>
            </w:r>
            <w:r w:rsidR="00E81B8D">
              <w:rPr>
                <w:rFonts w:eastAsia="Times New Roman"/>
                <w:color w:val="000000"/>
                <w:sz w:val="22"/>
                <w:szCs w:val="22"/>
              </w:rPr>
              <w:t>***</w:t>
            </w:r>
          </w:p>
        </w:tc>
      </w:tr>
    </w:tbl>
    <w:p w:rsidR="0054036D" w:rsidRDefault="0054036D" w:rsidP="006D7812">
      <w:pPr>
        <w:jc w:val="both"/>
        <w:rPr>
          <w:sz w:val="22"/>
          <w:szCs w:val="22"/>
        </w:rPr>
      </w:pPr>
    </w:p>
    <w:p w:rsidR="0054036D" w:rsidRDefault="0054036D" w:rsidP="006D7812">
      <w:pPr>
        <w:jc w:val="both"/>
        <w:rPr>
          <w:sz w:val="22"/>
          <w:szCs w:val="22"/>
        </w:rPr>
      </w:pPr>
    </w:p>
    <w:p w:rsidR="00201A16" w:rsidRPr="00201A16" w:rsidRDefault="00201A16" w:rsidP="006D7812">
      <w:pPr>
        <w:jc w:val="both"/>
        <w:rPr>
          <w:b/>
          <w:sz w:val="22"/>
          <w:szCs w:val="22"/>
        </w:rPr>
      </w:pPr>
      <w:r w:rsidRPr="00201A16">
        <w:rPr>
          <w:b/>
          <w:sz w:val="22"/>
          <w:szCs w:val="22"/>
        </w:rPr>
        <w:t xml:space="preserve">Panel C: Descriptive Stats of CRR at the Firm-Year Level </w:t>
      </w:r>
    </w:p>
    <w:p w:rsidR="00201A16" w:rsidRDefault="00201A16" w:rsidP="006D7812">
      <w:pPr>
        <w:jc w:val="both"/>
        <w:rPr>
          <w:sz w:val="22"/>
          <w:szCs w:val="22"/>
        </w:rPr>
      </w:pPr>
    </w:p>
    <w:tbl>
      <w:tblPr>
        <w:tblW w:w="8530" w:type="dxa"/>
        <w:tblInd w:w="108" w:type="dxa"/>
        <w:tblLayout w:type="fixed"/>
        <w:tblLook w:val="04A0"/>
      </w:tblPr>
      <w:tblGrid>
        <w:gridCol w:w="4962"/>
        <w:gridCol w:w="850"/>
        <w:gridCol w:w="734"/>
        <w:gridCol w:w="1134"/>
        <w:gridCol w:w="850"/>
      </w:tblGrid>
      <w:tr w:rsidR="00201A16" w:rsidRPr="00201A16" w:rsidTr="000338A8">
        <w:trPr>
          <w:trHeight w:val="300"/>
        </w:trPr>
        <w:tc>
          <w:tcPr>
            <w:tcW w:w="4962" w:type="dxa"/>
            <w:tcBorders>
              <w:top w:val="nil"/>
              <w:left w:val="nil"/>
              <w:bottom w:val="single" w:sz="4" w:space="0" w:color="auto"/>
              <w:right w:val="nil"/>
            </w:tcBorders>
            <w:shd w:val="clear" w:color="auto" w:fill="auto"/>
            <w:noWrap/>
            <w:vAlign w:val="bottom"/>
            <w:hideMark/>
          </w:tcPr>
          <w:p w:rsidR="00201A16" w:rsidRPr="00201A16" w:rsidRDefault="00201A16" w:rsidP="00201A16">
            <w:pPr>
              <w:rPr>
                <w:rFonts w:eastAsia="Times New Roman"/>
                <w:color w:val="000000"/>
                <w:sz w:val="22"/>
                <w:szCs w:val="22"/>
              </w:rPr>
            </w:pPr>
          </w:p>
        </w:tc>
        <w:tc>
          <w:tcPr>
            <w:tcW w:w="850" w:type="dxa"/>
            <w:tcBorders>
              <w:top w:val="nil"/>
              <w:left w:val="nil"/>
              <w:bottom w:val="single" w:sz="4" w:space="0" w:color="auto"/>
              <w:right w:val="nil"/>
            </w:tcBorders>
            <w:shd w:val="clear" w:color="auto" w:fill="auto"/>
            <w:noWrap/>
            <w:vAlign w:val="bottom"/>
            <w:hideMark/>
          </w:tcPr>
          <w:p w:rsidR="00201A16" w:rsidRPr="00201A16" w:rsidRDefault="00201A16" w:rsidP="00201A16">
            <w:pPr>
              <w:jc w:val="center"/>
              <w:rPr>
                <w:rFonts w:eastAsia="Times New Roman"/>
                <w:b/>
                <w:bCs/>
                <w:color w:val="000000"/>
                <w:sz w:val="22"/>
                <w:szCs w:val="22"/>
              </w:rPr>
            </w:pPr>
            <w:r w:rsidRPr="00201A16">
              <w:rPr>
                <w:rFonts w:eastAsia="Times New Roman"/>
                <w:b/>
                <w:bCs/>
                <w:color w:val="000000"/>
                <w:sz w:val="22"/>
                <w:szCs w:val="22"/>
              </w:rPr>
              <w:t>Mean</w:t>
            </w:r>
          </w:p>
        </w:tc>
        <w:tc>
          <w:tcPr>
            <w:tcW w:w="734" w:type="dxa"/>
            <w:tcBorders>
              <w:top w:val="nil"/>
              <w:left w:val="nil"/>
              <w:bottom w:val="single" w:sz="4" w:space="0" w:color="auto"/>
              <w:right w:val="nil"/>
            </w:tcBorders>
            <w:shd w:val="clear" w:color="auto" w:fill="auto"/>
            <w:noWrap/>
            <w:vAlign w:val="bottom"/>
            <w:hideMark/>
          </w:tcPr>
          <w:p w:rsidR="00201A16" w:rsidRPr="00201A16" w:rsidRDefault="00201A16" w:rsidP="00201A16">
            <w:pPr>
              <w:jc w:val="center"/>
              <w:rPr>
                <w:rFonts w:eastAsia="Times New Roman"/>
                <w:b/>
                <w:bCs/>
                <w:color w:val="000000"/>
                <w:sz w:val="22"/>
                <w:szCs w:val="22"/>
              </w:rPr>
            </w:pPr>
            <w:r w:rsidRPr="00201A16">
              <w:rPr>
                <w:rFonts w:eastAsia="Times New Roman"/>
                <w:b/>
                <w:bCs/>
                <w:color w:val="000000"/>
                <w:sz w:val="22"/>
                <w:szCs w:val="22"/>
              </w:rPr>
              <w:t>Q1</w:t>
            </w:r>
          </w:p>
        </w:tc>
        <w:tc>
          <w:tcPr>
            <w:tcW w:w="1134" w:type="dxa"/>
            <w:tcBorders>
              <w:top w:val="nil"/>
              <w:left w:val="nil"/>
              <w:bottom w:val="single" w:sz="4" w:space="0" w:color="auto"/>
              <w:right w:val="nil"/>
            </w:tcBorders>
            <w:shd w:val="clear" w:color="auto" w:fill="auto"/>
            <w:noWrap/>
            <w:vAlign w:val="bottom"/>
            <w:hideMark/>
          </w:tcPr>
          <w:p w:rsidR="00201A16" w:rsidRPr="00201A16" w:rsidRDefault="00201A16" w:rsidP="00201A16">
            <w:pPr>
              <w:jc w:val="center"/>
              <w:rPr>
                <w:rFonts w:eastAsia="Times New Roman"/>
                <w:b/>
                <w:bCs/>
                <w:color w:val="000000"/>
                <w:sz w:val="22"/>
                <w:szCs w:val="22"/>
              </w:rPr>
            </w:pPr>
            <w:r w:rsidRPr="00201A16">
              <w:rPr>
                <w:rFonts w:eastAsia="Times New Roman"/>
                <w:b/>
                <w:bCs/>
                <w:color w:val="000000"/>
                <w:sz w:val="22"/>
                <w:szCs w:val="22"/>
              </w:rPr>
              <w:t>Median</w:t>
            </w:r>
          </w:p>
        </w:tc>
        <w:tc>
          <w:tcPr>
            <w:tcW w:w="850" w:type="dxa"/>
            <w:tcBorders>
              <w:top w:val="nil"/>
              <w:left w:val="nil"/>
              <w:bottom w:val="single" w:sz="4" w:space="0" w:color="auto"/>
              <w:right w:val="nil"/>
            </w:tcBorders>
            <w:shd w:val="clear" w:color="auto" w:fill="auto"/>
            <w:noWrap/>
            <w:vAlign w:val="bottom"/>
            <w:hideMark/>
          </w:tcPr>
          <w:p w:rsidR="00201A16" w:rsidRPr="00201A16" w:rsidRDefault="00201A16" w:rsidP="00201A16">
            <w:pPr>
              <w:jc w:val="center"/>
              <w:rPr>
                <w:rFonts w:eastAsia="Times New Roman"/>
                <w:b/>
                <w:bCs/>
                <w:color w:val="000000"/>
                <w:sz w:val="22"/>
                <w:szCs w:val="22"/>
              </w:rPr>
            </w:pPr>
            <w:r w:rsidRPr="00201A16">
              <w:rPr>
                <w:rFonts w:eastAsia="Times New Roman"/>
                <w:b/>
                <w:bCs/>
                <w:color w:val="000000"/>
                <w:sz w:val="22"/>
                <w:szCs w:val="22"/>
              </w:rPr>
              <w:t>Q3</w:t>
            </w:r>
          </w:p>
        </w:tc>
      </w:tr>
      <w:tr w:rsidR="00201A16" w:rsidRPr="00201A16" w:rsidTr="000338A8">
        <w:trPr>
          <w:trHeight w:val="300"/>
        </w:trPr>
        <w:tc>
          <w:tcPr>
            <w:tcW w:w="4962" w:type="dxa"/>
            <w:tcBorders>
              <w:top w:val="single" w:sz="4" w:space="0" w:color="auto"/>
              <w:left w:val="nil"/>
              <w:bottom w:val="nil"/>
              <w:right w:val="nil"/>
            </w:tcBorders>
            <w:shd w:val="clear" w:color="auto" w:fill="auto"/>
            <w:noWrap/>
            <w:vAlign w:val="bottom"/>
            <w:hideMark/>
          </w:tcPr>
          <w:p w:rsidR="00201A16" w:rsidRPr="00201A16" w:rsidRDefault="00201A16" w:rsidP="000338A8">
            <w:pPr>
              <w:rPr>
                <w:rFonts w:eastAsia="Times New Roman"/>
                <w:color w:val="000000"/>
                <w:sz w:val="22"/>
                <w:szCs w:val="22"/>
              </w:rPr>
            </w:pPr>
            <w:r w:rsidRPr="00201A16">
              <w:rPr>
                <w:rFonts w:eastAsia="Times New Roman"/>
                <w:color w:val="000000"/>
                <w:sz w:val="22"/>
                <w:szCs w:val="22"/>
              </w:rPr>
              <w:t>M</w:t>
            </w:r>
            <w:r w:rsidR="000338A8">
              <w:rPr>
                <w:rFonts w:eastAsia="Times New Roman"/>
                <w:color w:val="000000"/>
                <w:sz w:val="22"/>
                <w:szCs w:val="22"/>
              </w:rPr>
              <w:t>ean</w:t>
            </w:r>
            <w:r w:rsidRPr="00201A16">
              <w:rPr>
                <w:rFonts w:eastAsia="Times New Roman"/>
                <w:color w:val="000000"/>
                <w:sz w:val="22"/>
                <w:szCs w:val="22"/>
              </w:rPr>
              <w:t xml:space="preserve"> </w:t>
            </w:r>
          </w:p>
        </w:tc>
        <w:tc>
          <w:tcPr>
            <w:tcW w:w="850" w:type="dxa"/>
            <w:tcBorders>
              <w:top w:val="single" w:sz="4" w:space="0" w:color="auto"/>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0.137</w:t>
            </w:r>
          </w:p>
        </w:tc>
        <w:tc>
          <w:tcPr>
            <w:tcW w:w="734" w:type="dxa"/>
            <w:tcBorders>
              <w:top w:val="single" w:sz="4" w:space="0" w:color="auto"/>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0.048</w:t>
            </w:r>
          </w:p>
        </w:tc>
        <w:tc>
          <w:tcPr>
            <w:tcW w:w="1134" w:type="dxa"/>
            <w:tcBorders>
              <w:top w:val="single" w:sz="4" w:space="0" w:color="auto"/>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0.108</w:t>
            </w:r>
          </w:p>
        </w:tc>
        <w:tc>
          <w:tcPr>
            <w:tcW w:w="850" w:type="dxa"/>
            <w:tcBorders>
              <w:top w:val="single" w:sz="4" w:space="0" w:color="auto"/>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0.185</w:t>
            </w:r>
          </w:p>
        </w:tc>
      </w:tr>
      <w:tr w:rsidR="00201A16" w:rsidRPr="00201A16" w:rsidTr="000338A8">
        <w:trPr>
          <w:trHeight w:val="300"/>
        </w:trPr>
        <w:tc>
          <w:tcPr>
            <w:tcW w:w="4962" w:type="dxa"/>
            <w:tcBorders>
              <w:top w:val="nil"/>
              <w:left w:val="nil"/>
              <w:bottom w:val="nil"/>
              <w:right w:val="nil"/>
            </w:tcBorders>
            <w:shd w:val="clear" w:color="auto" w:fill="auto"/>
            <w:noWrap/>
            <w:vAlign w:val="bottom"/>
            <w:hideMark/>
          </w:tcPr>
          <w:p w:rsidR="00201A16" w:rsidRPr="00201A16" w:rsidRDefault="00201A16" w:rsidP="000338A8">
            <w:pPr>
              <w:rPr>
                <w:rFonts w:eastAsia="Times New Roman"/>
                <w:color w:val="000000"/>
                <w:sz w:val="22"/>
                <w:szCs w:val="22"/>
              </w:rPr>
            </w:pPr>
            <w:r w:rsidRPr="00201A16">
              <w:rPr>
                <w:rFonts w:eastAsia="Times New Roman"/>
                <w:color w:val="000000"/>
                <w:sz w:val="22"/>
                <w:szCs w:val="22"/>
              </w:rPr>
              <w:t>S</w:t>
            </w:r>
            <w:r w:rsidR="000338A8">
              <w:rPr>
                <w:rFonts w:eastAsia="Times New Roman"/>
                <w:color w:val="000000"/>
                <w:sz w:val="22"/>
                <w:szCs w:val="22"/>
              </w:rPr>
              <w:t xml:space="preserve">tandard </w:t>
            </w:r>
            <w:r w:rsidRPr="00201A16">
              <w:rPr>
                <w:rFonts w:eastAsia="Times New Roman"/>
                <w:color w:val="000000"/>
                <w:sz w:val="22"/>
                <w:szCs w:val="22"/>
              </w:rPr>
              <w:t>D</w:t>
            </w:r>
            <w:r w:rsidR="000338A8">
              <w:rPr>
                <w:rFonts w:eastAsia="Times New Roman"/>
                <w:color w:val="000000"/>
                <w:sz w:val="22"/>
                <w:szCs w:val="22"/>
              </w:rPr>
              <w:t xml:space="preserve">eviation </w:t>
            </w:r>
          </w:p>
        </w:tc>
        <w:tc>
          <w:tcPr>
            <w:tcW w:w="850"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0.097</w:t>
            </w:r>
          </w:p>
        </w:tc>
        <w:tc>
          <w:tcPr>
            <w:tcW w:w="734"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0.049</w:t>
            </w:r>
          </w:p>
        </w:tc>
        <w:tc>
          <w:tcPr>
            <w:tcW w:w="1134"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0.082</w:t>
            </w:r>
          </w:p>
        </w:tc>
        <w:tc>
          <w:tcPr>
            <w:tcW w:w="850"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0.126</w:t>
            </w:r>
          </w:p>
        </w:tc>
      </w:tr>
      <w:tr w:rsidR="00201A16" w:rsidRPr="00201A16" w:rsidTr="000338A8">
        <w:trPr>
          <w:trHeight w:val="300"/>
        </w:trPr>
        <w:tc>
          <w:tcPr>
            <w:tcW w:w="4962" w:type="dxa"/>
            <w:tcBorders>
              <w:top w:val="nil"/>
              <w:left w:val="nil"/>
              <w:bottom w:val="nil"/>
              <w:right w:val="nil"/>
            </w:tcBorders>
            <w:shd w:val="clear" w:color="auto" w:fill="auto"/>
            <w:noWrap/>
            <w:vAlign w:val="bottom"/>
            <w:hideMark/>
          </w:tcPr>
          <w:p w:rsidR="00201A16" w:rsidRPr="00201A16" w:rsidRDefault="00201A16" w:rsidP="000338A8">
            <w:pPr>
              <w:rPr>
                <w:rFonts w:eastAsia="Times New Roman"/>
                <w:color w:val="000000"/>
                <w:sz w:val="22"/>
                <w:szCs w:val="22"/>
              </w:rPr>
            </w:pPr>
            <w:r w:rsidRPr="00201A16">
              <w:rPr>
                <w:rFonts w:eastAsia="Times New Roman"/>
                <w:color w:val="000000"/>
                <w:sz w:val="22"/>
                <w:szCs w:val="22"/>
              </w:rPr>
              <w:t>I</w:t>
            </w:r>
            <w:r w:rsidR="000338A8">
              <w:rPr>
                <w:rFonts w:eastAsia="Times New Roman"/>
                <w:color w:val="000000"/>
                <w:sz w:val="22"/>
                <w:szCs w:val="22"/>
              </w:rPr>
              <w:t>nterquartile</w:t>
            </w:r>
            <w:r w:rsidRPr="00201A16">
              <w:rPr>
                <w:rFonts w:eastAsia="Times New Roman"/>
                <w:color w:val="000000"/>
                <w:sz w:val="22"/>
                <w:szCs w:val="22"/>
              </w:rPr>
              <w:t xml:space="preserve"> R</w:t>
            </w:r>
            <w:r w:rsidR="000338A8">
              <w:rPr>
                <w:rFonts w:eastAsia="Times New Roman"/>
                <w:color w:val="000000"/>
                <w:sz w:val="22"/>
                <w:szCs w:val="22"/>
              </w:rPr>
              <w:t>ange</w:t>
            </w:r>
          </w:p>
        </w:tc>
        <w:tc>
          <w:tcPr>
            <w:tcW w:w="850"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0.118</w:t>
            </w:r>
          </w:p>
        </w:tc>
        <w:tc>
          <w:tcPr>
            <w:tcW w:w="734"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0</w:t>
            </w:r>
          </w:p>
        </w:tc>
        <w:tc>
          <w:tcPr>
            <w:tcW w:w="1134"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0.094</w:t>
            </w:r>
          </w:p>
        </w:tc>
        <w:tc>
          <w:tcPr>
            <w:tcW w:w="850"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0.167</w:t>
            </w:r>
          </w:p>
        </w:tc>
      </w:tr>
      <w:tr w:rsidR="00201A16" w:rsidRPr="00201A16" w:rsidTr="000338A8">
        <w:trPr>
          <w:trHeight w:val="300"/>
        </w:trPr>
        <w:tc>
          <w:tcPr>
            <w:tcW w:w="4962" w:type="dxa"/>
            <w:tcBorders>
              <w:top w:val="nil"/>
              <w:left w:val="nil"/>
              <w:bottom w:val="nil"/>
              <w:right w:val="nil"/>
            </w:tcBorders>
            <w:shd w:val="clear" w:color="auto" w:fill="auto"/>
            <w:noWrap/>
            <w:vAlign w:val="bottom"/>
            <w:hideMark/>
          </w:tcPr>
          <w:p w:rsidR="00201A16" w:rsidRPr="00201A16" w:rsidRDefault="006D377E" w:rsidP="00201A16">
            <w:pPr>
              <w:rPr>
                <w:rFonts w:eastAsia="Times New Roman"/>
                <w:color w:val="000000"/>
                <w:sz w:val="22"/>
                <w:szCs w:val="22"/>
              </w:rPr>
            </w:pPr>
            <w:r>
              <w:rPr>
                <w:rFonts w:eastAsia="Times New Roman"/>
                <w:color w:val="000000"/>
                <w:sz w:val="22"/>
                <w:szCs w:val="22"/>
              </w:rPr>
              <w:t>Observations</w:t>
            </w:r>
            <w:r w:rsidR="00201A16" w:rsidRPr="00201A16">
              <w:rPr>
                <w:rFonts w:eastAsia="Times New Roman"/>
                <w:color w:val="000000"/>
                <w:sz w:val="22"/>
                <w:szCs w:val="22"/>
              </w:rPr>
              <w:t xml:space="preserve"> [number of analysts at the firm-year]</w:t>
            </w:r>
          </w:p>
        </w:tc>
        <w:tc>
          <w:tcPr>
            <w:tcW w:w="850"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7.698</w:t>
            </w:r>
          </w:p>
        </w:tc>
        <w:tc>
          <w:tcPr>
            <w:tcW w:w="734"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3</w:t>
            </w:r>
          </w:p>
        </w:tc>
        <w:tc>
          <w:tcPr>
            <w:tcW w:w="1134"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6</w:t>
            </w:r>
          </w:p>
        </w:tc>
        <w:tc>
          <w:tcPr>
            <w:tcW w:w="850"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10</w:t>
            </w:r>
          </w:p>
        </w:tc>
      </w:tr>
    </w:tbl>
    <w:p w:rsidR="00201A16" w:rsidRDefault="00201A16" w:rsidP="006D7812">
      <w:pPr>
        <w:jc w:val="both"/>
        <w:rPr>
          <w:sz w:val="22"/>
          <w:szCs w:val="22"/>
        </w:rPr>
      </w:pPr>
    </w:p>
    <w:p w:rsidR="00201A16" w:rsidRDefault="00201A16" w:rsidP="006D7812">
      <w:pPr>
        <w:jc w:val="both"/>
        <w:rPr>
          <w:sz w:val="22"/>
          <w:szCs w:val="22"/>
        </w:rPr>
      </w:pPr>
    </w:p>
    <w:p w:rsidR="00201A16" w:rsidRDefault="00201A16" w:rsidP="006D7812">
      <w:pPr>
        <w:jc w:val="both"/>
        <w:rPr>
          <w:b/>
          <w:sz w:val="22"/>
          <w:szCs w:val="22"/>
        </w:rPr>
      </w:pPr>
      <w:r w:rsidRPr="00201A16">
        <w:rPr>
          <w:b/>
          <w:sz w:val="22"/>
          <w:szCs w:val="22"/>
        </w:rPr>
        <w:t xml:space="preserve">Panel </w:t>
      </w:r>
      <w:r>
        <w:rPr>
          <w:b/>
          <w:sz w:val="22"/>
          <w:szCs w:val="22"/>
        </w:rPr>
        <w:t>D</w:t>
      </w:r>
      <w:r w:rsidRPr="00201A16">
        <w:rPr>
          <w:b/>
          <w:sz w:val="22"/>
          <w:szCs w:val="22"/>
        </w:rPr>
        <w:t xml:space="preserve">: Descriptive Stats of CRR at the </w:t>
      </w:r>
      <w:r>
        <w:rPr>
          <w:b/>
          <w:sz w:val="22"/>
          <w:szCs w:val="22"/>
        </w:rPr>
        <w:t>Analyst</w:t>
      </w:r>
      <w:r w:rsidRPr="00201A16">
        <w:rPr>
          <w:b/>
          <w:sz w:val="22"/>
          <w:szCs w:val="22"/>
        </w:rPr>
        <w:t xml:space="preserve">-Year Level </w:t>
      </w:r>
    </w:p>
    <w:p w:rsidR="00201A16" w:rsidRPr="00201A16" w:rsidRDefault="00201A16" w:rsidP="006D7812">
      <w:pPr>
        <w:jc w:val="both"/>
        <w:rPr>
          <w:b/>
          <w:sz w:val="22"/>
          <w:szCs w:val="22"/>
        </w:rPr>
      </w:pPr>
    </w:p>
    <w:tbl>
      <w:tblPr>
        <w:tblW w:w="8955" w:type="dxa"/>
        <w:tblInd w:w="108" w:type="dxa"/>
        <w:tblLayout w:type="fixed"/>
        <w:tblLook w:val="04A0"/>
      </w:tblPr>
      <w:tblGrid>
        <w:gridCol w:w="5245"/>
        <w:gridCol w:w="992"/>
        <w:gridCol w:w="734"/>
        <w:gridCol w:w="1134"/>
        <w:gridCol w:w="850"/>
      </w:tblGrid>
      <w:tr w:rsidR="00201A16" w:rsidRPr="00201A16" w:rsidTr="000338A8">
        <w:trPr>
          <w:trHeight w:val="300"/>
        </w:trPr>
        <w:tc>
          <w:tcPr>
            <w:tcW w:w="5245" w:type="dxa"/>
            <w:tcBorders>
              <w:top w:val="nil"/>
              <w:left w:val="nil"/>
              <w:bottom w:val="single" w:sz="4" w:space="0" w:color="auto"/>
              <w:right w:val="nil"/>
            </w:tcBorders>
            <w:shd w:val="clear" w:color="auto" w:fill="auto"/>
            <w:noWrap/>
            <w:vAlign w:val="bottom"/>
            <w:hideMark/>
          </w:tcPr>
          <w:p w:rsidR="00201A16" w:rsidRPr="00201A16" w:rsidRDefault="00201A16" w:rsidP="00201A16">
            <w:pPr>
              <w:rPr>
                <w:rFonts w:eastAsia="Times New Roman"/>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201A16" w:rsidRPr="00201A16" w:rsidRDefault="00201A16" w:rsidP="00201A16">
            <w:pPr>
              <w:jc w:val="center"/>
              <w:rPr>
                <w:rFonts w:eastAsia="Times New Roman"/>
                <w:b/>
                <w:bCs/>
                <w:color w:val="000000"/>
                <w:sz w:val="22"/>
                <w:szCs w:val="22"/>
              </w:rPr>
            </w:pPr>
            <w:r w:rsidRPr="00201A16">
              <w:rPr>
                <w:rFonts w:eastAsia="Times New Roman"/>
                <w:b/>
                <w:bCs/>
                <w:color w:val="000000"/>
                <w:sz w:val="22"/>
                <w:szCs w:val="22"/>
              </w:rPr>
              <w:t>Mean</w:t>
            </w:r>
          </w:p>
        </w:tc>
        <w:tc>
          <w:tcPr>
            <w:tcW w:w="734" w:type="dxa"/>
            <w:tcBorders>
              <w:top w:val="nil"/>
              <w:left w:val="nil"/>
              <w:bottom w:val="single" w:sz="4" w:space="0" w:color="auto"/>
              <w:right w:val="nil"/>
            </w:tcBorders>
            <w:shd w:val="clear" w:color="auto" w:fill="auto"/>
            <w:noWrap/>
            <w:vAlign w:val="bottom"/>
            <w:hideMark/>
          </w:tcPr>
          <w:p w:rsidR="00201A16" w:rsidRPr="00201A16" w:rsidRDefault="00201A16" w:rsidP="00201A16">
            <w:pPr>
              <w:jc w:val="center"/>
              <w:rPr>
                <w:rFonts w:eastAsia="Times New Roman"/>
                <w:b/>
                <w:bCs/>
                <w:color w:val="000000"/>
                <w:sz w:val="22"/>
                <w:szCs w:val="22"/>
              </w:rPr>
            </w:pPr>
            <w:r w:rsidRPr="00201A16">
              <w:rPr>
                <w:rFonts w:eastAsia="Times New Roman"/>
                <w:b/>
                <w:bCs/>
                <w:color w:val="000000"/>
                <w:sz w:val="22"/>
                <w:szCs w:val="22"/>
              </w:rPr>
              <w:t>Q1</w:t>
            </w:r>
          </w:p>
        </w:tc>
        <w:tc>
          <w:tcPr>
            <w:tcW w:w="1134" w:type="dxa"/>
            <w:tcBorders>
              <w:top w:val="nil"/>
              <w:left w:val="nil"/>
              <w:bottom w:val="single" w:sz="4" w:space="0" w:color="auto"/>
              <w:right w:val="nil"/>
            </w:tcBorders>
            <w:shd w:val="clear" w:color="auto" w:fill="auto"/>
            <w:noWrap/>
            <w:vAlign w:val="bottom"/>
            <w:hideMark/>
          </w:tcPr>
          <w:p w:rsidR="00201A16" w:rsidRPr="00201A16" w:rsidRDefault="00201A16" w:rsidP="00201A16">
            <w:pPr>
              <w:jc w:val="center"/>
              <w:rPr>
                <w:rFonts w:eastAsia="Times New Roman"/>
                <w:b/>
                <w:bCs/>
                <w:color w:val="000000"/>
                <w:sz w:val="22"/>
                <w:szCs w:val="22"/>
              </w:rPr>
            </w:pPr>
            <w:r w:rsidRPr="00201A16">
              <w:rPr>
                <w:rFonts w:eastAsia="Times New Roman"/>
                <w:b/>
                <w:bCs/>
                <w:color w:val="000000"/>
                <w:sz w:val="22"/>
                <w:szCs w:val="22"/>
              </w:rPr>
              <w:t>Median</w:t>
            </w:r>
          </w:p>
        </w:tc>
        <w:tc>
          <w:tcPr>
            <w:tcW w:w="850" w:type="dxa"/>
            <w:tcBorders>
              <w:top w:val="nil"/>
              <w:left w:val="nil"/>
              <w:bottom w:val="single" w:sz="4" w:space="0" w:color="auto"/>
              <w:right w:val="nil"/>
            </w:tcBorders>
            <w:shd w:val="clear" w:color="auto" w:fill="auto"/>
            <w:noWrap/>
            <w:vAlign w:val="bottom"/>
            <w:hideMark/>
          </w:tcPr>
          <w:p w:rsidR="00201A16" w:rsidRPr="00201A16" w:rsidRDefault="00201A16" w:rsidP="00201A16">
            <w:pPr>
              <w:jc w:val="center"/>
              <w:rPr>
                <w:rFonts w:eastAsia="Times New Roman"/>
                <w:b/>
                <w:bCs/>
                <w:color w:val="000000"/>
                <w:sz w:val="22"/>
                <w:szCs w:val="22"/>
              </w:rPr>
            </w:pPr>
            <w:r w:rsidRPr="00201A16">
              <w:rPr>
                <w:rFonts w:eastAsia="Times New Roman"/>
                <w:b/>
                <w:bCs/>
                <w:color w:val="000000"/>
                <w:sz w:val="22"/>
                <w:szCs w:val="22"/>
              </w:rPr>
              <w:t>Q3</w:t>
            </w:r>
          </w:p>
        </w:tc>
      </w:tr>
      <w:tr w:rsidR="000338A8" w:rsidRPr="00201A16" w:rsidTr="000338A8">
        <w:trPr>
          <w:trHeight w:val="300"/>
        </w:trPr>
        <w:tc>
          <w:tcPr>
            <w:tcW w:w="5245" w:type="dxa"/>
            <w:tcBorders>
              <w:top w:val="single" w:sz="4" w:space="0" w:color="auto"/>
              <w:left w:val="nil"/>
              <w:bottom w:val="nil"/>
              <w:right w:val="nil"/>
            </w:tcBorders>
            <w:shd w:val="clear" w:color="auto" w:fill="auto"/>
            <w:noWrap/>
            <w:vAlign w:val="bottom"/>
            <w:hideMark/>
          </w:tcPr>
          <w:p w:rsidR="000338A8" w:rsidRPr="00201A16" w:rsidRDefault="000338A8" w:rsidP="00201A16">
            <w:pPr>
              <w:rPr>
                <w:rFonts w:eastAsia="Times New Roman"/>
                <w:color w:val="000000"/>
                <w:sz w:val="22"/>
                <w:szCs w:val="22"/>
              </w:rPr>
            </w:pPr>
            <w:r w:rsidRPr="00201A16">
              <w:rPr>
                <w:rFonts w:eastAsia="Times New Roman"/>
                <w:color w:val="000000"/>
                <w:sz w:val="22"/>
                <w:szCs w:val="22"/>
              </w:rPr>
              <w:t>M</w:t>
            </w:r>
            <w:r>
              <w:rPr>
                <w:rFonts w:eastAsia="Times New Roman"/>
                <w:color w:val="000000"/>
                <w:sz w:val="22"/>
                <w:szCs w:val="22"/>
              </w:rPr>
              <w:t>ean</w:t>
            </w:r>
            <w:r w:rsidRPr="00201A16">
              <w:rPr>
                <w:rFonts w:eastAsia="Times New Roman"/>
                <w:color w:val="000000"/>
                <w:sz w:val="22"/>
                <w:szCs w:val="22"/>
              </w:rPr>
              <w:t xml:space="preserve"> </w:t>
            </w:r>
          </w:p>
        </w:tc>
        <w:tc>
          <w:tcPr>
            <w:tcW w:w="992" w:type="dxa"/>
            <w:tcBorders>
              <w:top w:val="single" w:sz="4" w:space="0" w:color="auto"/>
              <w:left w:val="nil"/>
              <w:bottom w:val="nil"/>
              <w:right w:val="nil"/>
            </w:tcBorders>
            <w:shd w:val="clear" w:color="auto" w:fill="auto"/>
            <w:noWrap/>
            <w:vAlign w:val="bottom"/>
            <w:hideMark/>
          </w:tcPr>
          <w:p w:rsidR="000338A8" w:rsidRPr="00201A16" w:rsidRDefault="000338A8" w:rsidP="00201A16">
            <w:pPr>
              <w:jc w:val="center"/>
              <w:rPr>
                <w:rFonts w:eastAsia="Times New Roman"/>
                <w:color w:val="000000"/>
                <w:sz w:val="22"/>
                <w:szCs w:val="22"/>
              </w:rPr>
            </w:pPr>
            <w:r w:rsidRPr="00201A16">
              <w:rPr>
                <w:rFonts w:eastAsia="Times New Roman"/>
                <w:color w:val="000000"/>
                <w:sz w:val="22"/>
                <w:szCs w:val="22"/>
              </w:rPr>
              <w:t>0.13</w:t>
            </w:r>
          </w:p>
        </w:tc>
        <w:tc>
          <w:tcPr>
            <w:tcW w:w="734" w:type="dxa"/>
            <w:tcBorders>
              <w:top w:val="single" w:sz="4" w:space="0" w:color="auto"/>
              <w:left w:val="nil"/>
              <w:bottom w:val="nil"/>
              <w:right w:val="nil"/>
            </w:tcBorders>
            <w:shd w:val="clear" w:color="auto" w:fill="auto"/>
            <w:noWrap/>
            <w:vAlign w:val="bottom"/>
            <w:hideMark/>
          </w:tcPr>
          <w:p w:rsidR="000338A8" w:rsidRPr="00201A16" w:rsidRDefault="000338A8" w:rsidP="00201A16">
            <w:pPr>
              <w:jc w:val="center"/>
              <w:rPr>
                <w:rFonts w:eastAsia="Times New Roman"/>
                <w:color w:val="000000"/>
                <w:sz w:val="22"/>
                <w:szCs w:val="22"/>
              </w:rPr>
            </w:pPr>
            <w:r w:rsidRPr="00201A16">
              <w:rPr>
                <w:rFonts w:eastAsia="Times New Roman"/>
                <w:color w:val="000000"/>
                <w:sz w:val="22"/>
                <w:szCs w:val="22"/>
              </w:rPr>
              <w:t>0.075</w:t>
            </w:r>
          </w:p>
        </w:tc>
        <w:tc>
          <w:tcPr>
            <w:tcW w:w="1134" w:type="dxa"/>
            <w:tcBorders>
              <w:top w:val="single" w:sz="4" w:space="0" w:color="auto"/>
              <w:left w:val="nil"/>
              <w:bottom w:val="nil"/>
              <w:right w:val="nil"/>
            </w:tcBorders>
            <w:shd w:val="clear" w:color="auto" w:fill="auto"/>
            <w:noWrap/>
            <w:vAlign w:val="bottom"/>
            <w:hideMark/>
          </w:tcPr>
          <w:p w:rsidR="000338A8" w:rsidRPr="00201A16" w:rsidRDefault="000338A8" w:rsidP="00201A16">
            <w:pPr>
              <w:jc w:val="center"/>
              <w:rPr>
                <w:rFonts w:eastAsia="Times New Roman"/>
                <w:color w:val="000000"/>
                <w:sz w:val="22"/>
                <w:szCs w:val="22"/>
              </w:rPr>
            </w:pPr>
            <w:r w:rsidRPr="00201A16">
              <w:rPr>
                <w:rFonts w:eastAsia="Times New Roman"/>
                <w:color w:val="000000"/>
                <w:sz w:val="22"/>
                <w:szCs w:val="22"/>
              </w:rPr>
              <w:t>0.119</w:t>
            </w:r>
          </w:p>
        </w:tc>
        <w:tc>
          <w:tcPr>
            <w:tcW w:w="850" w:type="dxa"/>
            <w:tcBorders>
              <w:top w:val="single" w:sz="4" w:space="0" w:color="auto"/>
              <w:left w:val="nil"/>
              <w:bottom w:val="nil"/>
              <w:right w:val="nil"/>
            </w:tcBorders>
            <w:shd w:val="clear" w:color="auto" w:fill="auto"/>
            <w:noWrap/>
            <w:vAlign w:val="bottom"/>
            <w:hideMark/>
          </w:tcPr>
          <w:p w:rsidR="000338A8" w:rsidRPr="00201A16" w:rsidRDefault="000338A8" w:rsidP="00201A16">
            <w:pPr>
              <w:jc w:val="center"/>
              <w:rPr>
                <w:rFonts w:eastAsia="Times New Roman"/>
                <w:color w:val="000000"/>
                <w:sz w:val="22"/>
                <w:szCs w:val="22"/>
              </w:rPr>
            </w:pPr>
            <w:r w:rsidRPr="00201A16">
              <w:rPr>
                <w:rFonts w:eastAsia="Times New Roman"/>
                <w:color w:val="000000"/>
                <w:sz w:val="22"/>
                <w:szCs w:val="22"/>
              </w:rPr>
              <w:t>0.171</w:t>
            </w:r>
          </w:p>
        </w:tc>
      </w:tr>
      <w:tr w:rsidR="000338A8" w:rsidRPr="00201A16" w:rsidTr="000338A8">
        <w:trPr>
          <w:trHeight w:val="300"/>
        </w:trPr>
        <w:tc>
          <w:tcPr>
            <w:tcW w:w="5245" w:type="dxa"/>
            <w:tcBorders>
              <w:top w:val="nil"/>
              <w:left w:val="nil"/>
              <w:bottom w:val="nil"/>
              <w:right w:val="nil"/>
            </w:tcBorders>
            <w:shd w:val="clear" w:color="auto" w:fill="auto"/>
            <w:noWrap/>
            <w:vAlign w:val="bottom"/>
            <w:hideMark/>
          </w:tcPr>
          <w:p w:rsidR="000338A8" w:rsidRPr="00201A16" w:rsidRDefault="000338A8" w:rsidP="00201A16">
            <w:pPr>
              <w:rPr>
                <w:rFonts w:eastAsia="Times New Roman"/>
                <w:color w:val="000000"/>
                <w:sz w:val="22"/>
                <w:szCs w:val="22"/>
              </w:rPr>
            </w:pPr>
            <w:r w:rsidRPr="00201A16">
              <w:rPr>
                <w:rFonts w:eastAsia="Times New Roman"/>
                <w:color w:val="000000"/>
                <w:sz w:val="22"/>
                <w:szCs w:val="22"/>
              </w:rPr>
              <w:t>S</w:t>
            </w:r>
            <w:r>
              <w:rPr>
                <w:rFonts w:eastAsia="Times New Roman"/>
                <w:color w:val="000000"/>
                <w:sz w:val="22"/>
                <w:szCs w:val="22"/>
              </w:rPr>
              <w:t xml:space="preserve">tandard </w:t>
            </w:r>
            <w:r w:rsidRPr="00201A16">
              <w:rPr>
                <w:rFonts w:eastAsia="Times New Roman"/>
                <w:color w:val="000000"/>
                <w:sz w:val="22"/>
                <w:szCs w:val="22"/>
              </w:rPr>
              <w:t>D</w:t>
            </w:r>
            <w:r>
              <w:rPr>
                <w:rFonts w:eastAsia="Times New Roman"/>
                <w:color w:val="000000"/>
                <w:sz w:val="22"/>
                <w:szCs w:val="22"/>
              </w:rPr>
              <w:t xml:space="preserve">eviation </w:t>
            </w:r>
          </w:p>
        </w:tc>
        <w:tc>
          <w:tcPr>
            <w:tcW w:w="992" w:type="dxa"/>
            <w:tcBorders>
              <w:top w:val="nil"/>
              <w:left w:val="nil"/>
              <w:bottom w:val="nil"/>
              <w:right w:val="nil"/>
            </w:tcBorders>
            <w:shd w:val="clear" w:color="auto" w:fill="auto"/>
            <w:noWrap/>
            <w:vAlign w:val="bottom"/>
            <w:hideMark/>
          </w:tcPr>
          <w:p w:rsidR="000338A8" w:rsidRPr="00201A16" w:rsidRDefault="000338A8" w:rsidP="00201A16">
            <w:pPr>
              <w:jc w:val="center"/>
              <w:rPr>
                <w:rFonts w:eastAsia="Times New Roman"/>
                <w:color w:val="000000"/>
                <w:sz w:val="22"/>
                <w:szCs w:val="22"/>
              </w:rPr>
            </w:pPr>
            <w:r w:rsidRPr="00201A16">
              <w:rPr>
                <w:rFonts w:eastAsia="Times New Roman"/>
                <w:color w:val="000000"/>
                <w:sz w:val="22"/>
                <w:szCs w:val="22"/>
              </w:rPr>
              <w:t>0.137</w:t>
            </w:r>
          </w:p>
        </w:tc>
        <w:tc>
          <w:tcPr>
            <w:tcW w:w="734" w:type="dxa"/>
            <w:tcBorders>
              <w:top w:val="nil"/>
              <w:left w:val="nil"/>
              <w:bottom w:val="nil"/>
              <w:right w:val="nil"/>
            </w:tcBorders>
            <w:shd w:val="clear" w:color="auto" w:fill="auto"/>
            <w:noWrap/>
            <w:vAlign w:val="bottom"/>
            <w:hideMark/>
          </w:tcPr>
          <w:p w:rsidR="000338A8" w:rsidRPr="00201A16" w:rsidRDefault="000338A8" w:rsidP="00201A16">
            <w:pPr>
              <w:jc w:val="center"/>
              <w:rPr>
                <w:rFonts w:eastAsia="Times New Roman"/>
                <w:color w:val="000000"/>
                <w:sz w:val="22"/>
                <w:szCs w:val="22"/>
              </w:rPr>
            </w:pPr>
            <w:r w:rsidRPr="00201A16">
              <w:rPr>
                <w:rFonts w:eastAsia="Times New Roman"/>
                <w:color w:val="000000"/>
                <w:sz w:val="22"/>
                <w:szCs w:val="22"/>
              </w:rPr>
              <w:t>0.082</w:t>
            </w:r>
          </w:p>
        </w:tc>
        <w:tc>
          <w:tcPr>
            <w:tcW w:w="1134" w:type="dxa"/>
            <w:tcBorders>
              <w:top w:val="nil"/>
              <w:left w:val="nil"/>
              <w:bottom w:val="nil"/>
              <w:right w:val="nil"/>
            </w:tcBorders>
            <w:shd w:val="clear" w:color="auto" w:fill="auto"/>
            <w:noWrap/>
            <w:vAlign w:val="bottom"/>
            <w:hideMark/>
          </w:tcPr>
          <w:p w:rsidR="000338A8" w:rsidRPr="00201A16" w:rsidRDefault="000338A8" w:rsidP="00201A16">
            <w:pPr>
              <w:jc w:val="center"/>
              <w:rPr>
                <w:rFonts w:eastAsia="Times New Roman"/>
                <w:color w:val="000000"/>
                <w:sz w:val="22"/>
                <w:szCs w:val="22"/>
              </w:rPr>
            </w:pPr>
            <w:r w:rsidRPr="00201A16">
              <w:rPr>
                <w:rFonts w:eastAsia="Times New Roman"/>
                <w:color w:val="000000"/>
                <w:sz w:val="22"/>
                <w:szCs w:val="22"/>
              </w:rPr>
              <w:t>0.12</w:t>
            </w:r>
          </w:p>
        </w:tc>
        <w:tc>
          <w:tcPr>
            <w:tcW w:w="850" w:type="dxa"/>
            <w:tcBorders>
              <w:top w:val="nil"/>
              <w:left w:val="nil"/>
              <w:bottom w:val="nil"/>
              <w:right w:val="nil"/>
            </w:tcBorders>
            <w:shd w:val="clear" w:color="auto" w:fill="auto"/>
            <w:noWrap/>
            <w:vAlign w:val="bottom"/>
            <w:hideMark/>
          </w:tcPr>
          <w:p w:rsidR="000338A8" w:rsidRPr="00201A16" w:rsidRDefault="000338A8" w:rsidP="00201A16">
            <w:pPr>
              <w:jc w:val="center"/>
              <w:rPr>
                <w:rFonts w:eastAsia="Times New Roman"/>
                <w:color w:val="000000"/>
                <w:sz w:val="22"/>
                <w:szCs w:val="22"/>
              </w:rPr>
            </w:pPr>
            <w:r w:rsidRPr="00201A16">
              <w:rPr>
                <w:rFonts w:eastAsia="Times New Roman"/>
                <w:color w:val="000000"/>
                <w:sz w:val="22"/>
                <w:szCs w:val="22"/>
              </w:rPr>
              <w:t>0.172</w:t>
            </w:r>
          </w:p>
        </w:tc>
      </w:tr>
      <w:tr w:rsidR="000338A8" w:rsidRPr="00201A16" w:rsidTr="000338A8">
        <w:trPr>
          <w:trHeight w:val="300"/>
        </w:trPr>
        <w:tc>
          <w:tcPr>
            <w:tcW w:w="5245" w:type="dxa"/>
            <w:tcBorders>
              <w:top w:val="nil"/>
              <w:left w:val="nil"/>
              <w:bottom w:val="nil"/>
              <w:right w:val="nil"/>
            </w:tcBorders>
            <w:shd w:val="clear" w:color="auto" w:fill="auto"/>
            <w:noWrap/>
            <w:vAlign w:val="bottom"/>
            <w:hideMark/>
          </w:tcPr>
          <w:p w:rsidR="000338A8" w:rsidRPr="00201A16" w:rsidRDefault="000338A8" w:rsidP="00201A16">
            <w:pPr>
              <w:rPr>
                <w:rFonts w:eastAsia="Times New Roman"/>
                <w:color w:val="000000"/>
                <w:sz w:val="22"/>
                <w:szCs w:val="22"/>
              </w:rPr>
            </w:pPr>
            <w:r w:rsidRPr="00201A16">
              <w:rPr>
                <w:rFonts w:eastAsia="Times New Roman"/>
                <w:color w:val="000000"/>
                <w:sz w:val="22"/>
                <w:szCs w:val="22"/>
              </w:rPr>
              <w:t>I</w:t>
            </w:r>
            <w:r>
              <w:rPr>
                <w:rFonts w:eastAsia="Times New Roman"/>
                <w:color w:val="000000"/>
                <w:sz w:val="22"/>
                <w:szCs w:val="22"/>
              </w:rPr>
              <w:t>nterquartile</w:t>
            </w:r>
            <w:r w:rsidRPr="00201A16">
              <w:rPr>
                <w:rFonts w:eastAsia="Times New Roman"/>
                <w:color w:val="000000"/>
                <w:sz w:val="22"/>
                <w:szCs w:val="22"/>
              </w:rPr>
              <w:t xml:space="preserve"> R</w:t>
            </w:r>
            <w:r>
              <w:rPr>
                <w:rFonts w:eastAsia="Times New Roman"/>
                <w:color w:val="000000"/>
                <w:sz w:val="22"/>
                <w:szCs w:val="22"/>
              </w:rPr>
              <w:t>ange</w:t>
            </w:r>
          </w:p>
        </w:tc>
        <w:tc>
          <w:tcPr>
            <w:tcW w:w="992" w:type="dxa"/>
            <w:tcBorders>
              <w:top w:val="nil"/>
              <w:left w:val="nil"/>
              <w:bottom w:val="nil"/>
              <w:right w:val="nil"/>
            </w:tcBorders>
            <w:shd w:val="clear" w:color="auto" w:fill="auto"/>
            <w:noWrap/>
            <w:vAlign w:val="bottom"/>
            <w:hideMark/>
          </w:tcPr>
          <w:p w:rsidR="000338A8" w:rsidRPr="00201A16" w:rsidRDefault="000338A8" w:rsidP="00201A16">
            <w:pPr>
              <w:jc w:val="center"/>
              <w:rPr>
                <w:rFonts w:eastAsia="Times New Roman"/>
                <w:color w:val="000000"/>
                <w:sz w:val="22"/>
                <w:szCs w:val="22"/>
              </w:rPr>
            </w:pPr>
            <w:r w:rsidRPr="00201A16">
              <w:rPr>
                <w:rFonts w:eastAsia="Times New Roman"/>
                <w:color w:val="000000"/>
                <w:sz w:val="22"/>
                <w:szCs w:val="22"/>
              </w:rPr>
              <w:t>0.179</w:t>
            </w:r>
          </w:p>
        </w:tc>
        <w:tc>
          <w:tcPr>
            <w:tcW w:w="734" w:type="dxa"/>
            <w:tcBorders>
              <w:top w:val="nil"/>
              <w:left w:val="nil"/>
              <w:bottom w:val="nil"/>
              <w:right w:val="nil"/>
            </w:tcBorders>
            <w:shd w:val="clear" w:color="auto" w:fill="auto"/>
            <w:noWrap/>
            <w:vAlign w:val="bottom"/>
            <w:hideMark/>
          </w:tcPr>
          <w:p w:rsidR="000338A8" w:rsidRPr="00201A16" w:rsidRDefault="000338A8" w:rsidP="00201A16">
            <w:pPr>
              <w:jc w:val="center"/>
              <w:rPr>
                <w:rFonts w:eastAsia="Times New Roman"/>
                <w:color w:val="000000"/>
                <w:sz w:val="22"/>
                <w:szCs w:val="22"/>
              </w:rPr>
            </w:pPr>
            <w:r w:rsidRPr="00201A16">
              <w:rPr>
                <w:rFonts w:eastAsia="Times New Roman"/>
                <w:color w:val="000000"/>
                <w:sz w:val="22"/>
                <w:szCs w:val="22"/>
              </w:rPr>
              <w:t>0.1</w:t>
            </w:r>
          </w:p>
        </w:tc>
        <w:tc>
          <w:tcPr>
            <w:tcW w:w="1134" w:type="dxa"/>
            <w:tcBorders>
              <w:top w:val="nil"/>
              <w:left w:val="nil"/>
              <w:bottom w:val="nil"/>
              <w:right w:val="nil"/>
            </w:tcBorders>
            <w:shd w:val="clear" w:color="auto" w:fill="auto"/>
            <w:noWrap/>
            <w:vAlign w:val="bottom"/>
            <w:hideMark/>
          </w:tcPr>
          <w:p w:rsidR="000338A8" w:rsidRPr="00201A16" w:rsidRDefault="000338A8" w:rsidP="00201A16">
            <w:pPr>
              <w:jc w:val="center"/>
              <w:rPr>
                <w:rFonts w:eastAsia="Times New Roman"/>
                <w:color w:val="000000"/>
                <w:sz w:val="22"/>
                <w:szCs w:val="22"/>
              </w:rPr>
            </w:pPr>
            <w:r w:rsidRPr="00201A16">
              <w:rPr>
                <w:rFonts w:eastAsia="Times New Roman"/>
                <w:color w:val="000000"/>
                <w:sz w:val="22"/>
                <w:szCs w:val="22"/>
              </w:rPr>
              <w:t>0.162</w:t>
            </w:r>
          </w:p>
        </w:tc>
        <w:tc>
          <w:tcPr>
            <w:tcW w:w="850" w:type="dxa"/>
            <w:tcBorders>
              <w:top w:val="nil"/>
              <w:left w:val="nil"/>
              <w:bottom w:val="nil"/>
              <w:right w:val="nil"/>
            </w:tcBorders>
            <w:shd w:val="clear" w:color="auto" w:fill="auto"/>
            <w:noWrap/>
            <w:vAlign w:val="bottom"/>
            <w:hideMark/>
          </w:tcPr>
          <w:p w:rsidR="000338A8" w:rsidRPr="00201A16" w:rsidRDefault="000338A8" w:rsidP="00201A16">
            <w:pPr>
              <w:jc w:val="center"/>
              <w:rPr>
                <w:rFonts w:eastAsia="Times New Roman"/>
                <w:color w:val="000000"/>
                <w:sz w:val="22"/>
                <w:szCs w:val="22"/>
              </w:rPr>
            </w:pPr>
            <w:r w:rsidRPr="00201A16">
              <w:rPr>
                <w:rFonts w:eastAsia="Times New Roman"/>
                <w:color w:val="000000"/>
                <w:sz w:val="22"/>
                <w:szCs w:val="22"/>
              </w:rPr>
              <w:t>0.233</w:t>
            </w:r>
          </w:p>
        </w:tc>
      </w:tr>
      <w:tr w:rsidR="00201A16" w:rsidRPr="00201A16" w:rsidTr="000338A8">
        <w:trPr>
          <w:trHeight w:val="300"/>
        </w:trPr>
        <w:tc>
          <w:tcPr>
            <w:tcW w:w="5245" w:type="dxa"/>
            <w:tcBorders>
              <w:top w:val="nil"/>
              <w:left w:val="nil"/>
              <w:bottom w:val="nil"/>
              <w:right w:val="nil"/>
            </w:tcBorders>
            <w:shd w:val="clear" w:color="auto" w:fill="auto"/>
            <w:noWrap/>
            <w:vAlign w:val="bottom"/>
            <w:hideMark/>
          </w:tcPr>
          <w:p w:rsidR="00201A16" w:rsidRPr="00201A16" w:rsidRDefault="000338A8" w:rsidP="00201A16">
            <w:pPr>
              <w:rPr>
                <w:rFonts w:eastAsia="Times New Roman"/>
                <w:color w:val="000000"/>
                <w:sz w:val="22"/>
                <w:szCs w:val="22"/>
              </w:rPr>
            </w:pPr>
            <w:r>
              <w:rPr>
                <w:rFonts w:eastAsia="Times New Roman"/>
                <w:color w:val="000000"/>
                <w:sz w:val="22"/>
                <w:szCs w:val="22"/>
              </w:rPr>
              <w:t>Observations</w:t>
            </w:r>
            <w:r w:rsidR="00201A16" w:rsidRPr="00201A16">
              <w:rPr>
                <w:rFonts w:eastAsia="Times New Roman"/>
                <w:color w:val="000000"/>
                <w:sz w:val="22"/>
                <w:szCs w:val="22"/>
              </w:rPr>
              <w:t xml:space="preserve"> [number of </w:t>
            </w:r>
            <w:r w:rsidR="006D377E" w:rsidRPr="00201A16">
              <w:rPr>
                <w:rFonts w:eastAsia="Times New Roman"/>
                <w:color w:val="000000"/>
                <w:sz w:val="22"/>
                <w:szCs w:val="22"/>
              </w:rPr>
              <w:t>companies</w:t>
            </w:r>
            <w:r w:rsidR="00201A16" w:rsidRPr="00201A16">
              <w:rPr>
                <w:rFonts w:eastAsia="Times New Roman"/>
                <w:color w:val="000000"/>
                <w:sz w:val="22"/>
                <w:szCs w:val="22"/>
              </w:rPr>
              <w:t xml:space="preserve"> at the Analyst-year]</w:t>
            </w:r>
          </w:p>
        </w:tc>
        <w:tc>
          <w:tcPr>
            <w:tcW w:w="992"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7.853</w:t>
            </w:r>
          </w:p>
        </w:tc>
        <w:tc>
          <w:tcPr>
            <w:tcW w:w="734"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4</w:t>
            </w:r>
          </w:p>
        </w:tc>
        <w:tc>
          <w:tcPr>
            <w:tcW w:w="1134"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7</w:t>
            </w:r>
          </w:p>
        </w:tc>
        <w:tc>
          <w:tcPr>
            <w:tcW w:w="850" w:type="dxa"/>
            <w:tcBorders>
              <w:top w:val="nil"/>
              <w:left w:val="nil"/>
              <w:bottom w:val="nil"/>
              <w:right w:val="nil"/>
            </w:tcBorders>
            <w:shd w:val="clear" w:color="auto" w:fill="auto"/>
            <w:noWrap/>
            <w:vAlign w:val="bottom"/>
            <w:hideMark/>
          </w:tcPr>
          <w:p w:rsidR="00201A16" w:rsidRPr="00201A16" w:rsidRDefault="00201A16" w:rsidP="00201A16">
            <w:pPr>
              <w:jc w:val="center"/>
              <w:rPr>
                <w:rFonts w:eastAsia="Times New Roman"/>
                <w:color w:val="000000"/>
                <w:sz w:val="22"/>
                <w:szCs w:val="22"/>
              </w:rPr>
            </w:pPr>
            <w:r w:rsidRPr="00201A16">
              <w:rPr>
                <w:rFonts w:eastAsia="Times New Roman"/>
                <w:color w:val="000000"/>
                <w:sz w:val="22"/>
                <w:szCs w:val="22"/>
              </w:rPr>
              <w:t>11</w:t>
            </w:r>
          </w:p>
        </w:tc>
      </w:tr>
    </w:tbl>
    <w:p w:rsidR="00201A16" w:rsidRDefault="00201A16" w:rsidP="006D7812">
      <w:pPr>
        <w:jc w:val="both"/>
        <w:rPr>
          <w:sz w:val="22"/>
          <w:szCs w:val="22"/>
        </w:rPr>
      </w:pPr>
    </w:p>
    <w:p w:rsidR="008C0AC3" w:rsidRDefault="008C0AC3">
      <w:pPr>
        <w:rPr>
          <w:sz w:val="22"/>
          <w:szCs w:val="22"/>
        </w:rPr>
      </w:pPr>
      <w:r>
        <w:rPr>
          <w:sz w:val="22"/>
          <w:szCs w:val="22"/>
        </w:rPr>
        <w:br w:type="page"/>
      </w:r>
    </w:p>
    <w:p w:rsidR="008C0AC3" w:rsidRPr="00542545" w:rsidRDefault="008C0AC3" w:rsidP="006D7812">
      <w:pPr>
        <w:jc w:val="both"/>
        <w:rPr>
          <w:b/>
          <w:sz w:val="22"/>
          <w:szCs w:val="22"/>
        </w:rPr>
      </w:pPr>
      <w:r w:rsidRPr="00542545">
        <w:rPr>
          <w:b/>
          <w:sz w:val="22"/>
          <w:szCs w:val="22"/>
        </w:rPr>
        <w:lastRenderedPageBreak/>
        <w:t xml:space="preserve">Panel E: Regressions of Performance Measures on CRR </w:t>
      </w:r>
    </w:p>
    <w:p w:rsidR="008C0AC3" w:rsidRDefault="008C0AC3" w:rsidP="006D7812">
      <w:pPr>
        <w:jc w:val="both"/>
        <w:rPr>
          <w:sz w:val="22"/>
          <w:szCs w:val="22"/>
        </w:rPr>
      </w:pPr>
    </w:p>
    <w:tbl>
      <w:tblPr>
        <w:tblW w:w="8324" w:type="dxa"/>
        <w:tblInd w:w="108" w:type="dxa"/>
        <w:tblLayout w:type="fixed"/>
        <w:tblLook w:val="04A0"/>
      </w:tblPr>
      <w:tblGrid>
        <w:gridCol w:w="2410"/>
        <w:gridCol w:w="1560"/>
        <w:gridCol w:w="1559"/>
        <w:gridCol w:w="1417"/>
        <w:gridCol w:w="1378"/>
      </w:tblGrid>
      <w:tr w:rsidR="008C0AC3" w:rsidRPr="00542545" w:rsidTr="005E1519">
        <w:trPr>
          <w:trHeight w:val="300"/>
        </w:trPr>
        <w:tc>
          <w:tcPr>
            <w:tcW w:w="2410" w:type="dxa"/>
            <w:tcBorders>
              <w:top w:val="nil"/>
              <w:left w:val="nil"/>
              <w:bottom w:val="single" w:sz="4" w:space="0" w:color="auto"/>
              <w:right w:val="nil"/>
            </w:tcBorders>
            <w:shd w:val="clear" w:color="auto" w:fill="auto"/>
            <w:noWrap/>
            <w:vAlign w:val="bottom"/>
            <w:hideMark/>
          </w:tcPr>
          <w:p w:rsidR="008C0AC3" w:rsidRPr="00542545" w:rsidRDefault="008C0AC3" w:rsidP="008C0AC3">
            <w:pPr>
              <w:rPr>
                <w:rFonts w:eastAsia="Times New Roman"/>
                <w:color w:val="000000"/>
                <w:sz w:val="22"/>
                <w:szCs w:val="22"/>
              </w:rPr>
            </w:pPr>
          </w:p>
        </w:tc>
        <w:tc>
          <w:tcPr>
            <w:tcW w:w="1560" w:type="dxa"/>
            <w:tcBorders>
              <w:top w:val="nil"/>
              <w:left w:val="nil"/>
              <w:bottom w:val="single" w:sz="4" w:space="0" w:color="auto"/>
              <w:right w:val="nil"/>
            </w:tcBorders>
            <w:shd w:val="clear" w:color="auto" w:fill="auto"/>
            <w:noWrap/>
            <w:vAlign w:val="bottom"/>
            <w:hideMark/>
          </w:tcPr>
          <w:p w:rsidR="008C0AC3" w:rsidRPr="00542545" w:rsidRDefault="008C0AC3" w:rsidP="008C0AC3">
            <w:pPr>
              <w:jc w:val="center"/>
              <w:rPr>
                <w:rFonts w:eastAsia="Times New Roman"/>
                <w:b/>
                <w:bCs/>
                <w:color w:val="000000"/>
                <w:sz w:val="22"/>
                <w:szCs w:val="22"/>
              </w:rPr>
            </w:pPr>
            <w:r w:rsidRPr="00542545">
              <w:rPr>
                <w:rFonts w:eastAsia="Times New Roman"/>
                <w:b/>
                <w:bCs/>
                <w:color w:val="000000"/>
                <w:sz w:val="22"/>
                <w:szCs w:val="22"/>
              </w:rPr>
              <w:t>Timeliness</w:t>
            </w:r>
          </w:p>
        </w:tc>
        <w:tc>
          <w:tcPr>
            <w:tcW w:w="1559" w:type="dxa"/>
            <w:tcBorders>
              <w:top w:val="nil"/>
              <w:left w:val="nil"/>
              <w:bottom w:val="single" w:sz="4" w:space="0" w:color="auto"/>
              <w:right w:val="nil"/>
            </w:tcBorders>
            <w:shd w:val="clear" w:color="auto" w:fill="auto"/>
            <w:noWrap/>
            <w:vAlign w:val="bottom"/>
            <w:hideMark/>
          </w:tcPr>
          <w:p w:rsidR="008C0AC3" w:rsidRPr="00542545" w:rsidRDefault="00542545" w:rsidP="008C0AC3">
            <w:pPr>
              <w:jc w:val="center"/>
              <w:rPr>
                <w:rFonts w:eastAsia="Times New Roman"/>
                <w:b/>
                <w:bCs/>
                <w:color w:val="000000"/>
                <w:sz w:val="22"/>
                <w:szCs w:val="22"/>
              </w:rPr>
            </w:pPr>
            <w:r w:rsidRPr="00542545">
              <w:rPr>
                <w:rFonts w:eastAsia="Times New Roman"/>
                <w:b/>
                <w:bCs/>
                <w:color w:val="000000"/>
                <w:sz w:val="22"/>
                <w:szCs w:val="22"/>
              </w:rPr>
              <w:t>Forecast Error</w:t>
            </w:r>
          </w:p>
        </w:tc>
        <w:tc>
          <w:tcPr>
            <w:tcW w:w="1417" w:type="dxa"/>
            <w:tcBorders>
              <w:top w:val="nil"/>
              <w:left w:val="nil"/>
              <w:bottom w:val="single" w:sz="4" w:space="0" w:color="auto"/>
              <w:right w:val="nil"/>
            </w:tcBorders>
            <w:shd w:val="clear" w:color="auto" w:fill="auto"/>
            <w:noWrap/>
            <w:vAlign w:val="bottom"/>
            <w:hideMark/>
          </w:tcPr>
          <w:p w:rsidR="008C0AC3" w:rsidRPr="00542545" w:rsidRDefault="008C0AC3" w:rsidP="00542545">
            <w:pPr>
              <w:jc w:val="center"/>
              <w:rPr>
                <w:rFonts w:eastAsia="Times New Roman"/>
                <w:b/>
                <w:bCs/>
                <w:color w:val="000000"/>
                <w:sz w:val="22"/>
                <w:szCs w:val="22"/>
              </w:rPr>
            </w:pPr>
            <w:r w:rsidRPr="00542545">
              <w:rPr>
                <w:rFonts w:eastAsia="Times New Roman"/>
                <w:b/>
                <w:bCs/>
                <w:color w:val="000000"/>
                <w:sz w:val="22"/>
                <w:szCs w:val="22"/>
              </w:rPr>
              <w:t>B</w:t>
            </w:r>
            <w:r w:rsidR="00542545" w:rsidRPr="00542545">
              <w:rPr>
                <w:rFonts w:eastAsia="Times New Roman"/>
                <w:b/>
                <w:bCs/>
                <w:color w:val="000000"/>
                <w:sz w:val="22"/>
                <w:szCs w:val="22"/>
              </w:rPr>
              <w:t>oldness</w:t>
            </w:r>
          </w:p>
        </w:tc>
        <w:tc>
          <w:tcPr>
            <w:tcW w:w="1378" w:type="dxa"/>
            <w:tcBorders>
              <w:top w:val="nil"/>
              <w:left w:val="nil"/>
              <w:bottom w:val="single" w:sz="4" w:space="0" w:color="auto"/>
              <w:right w:val="nil"/>
            </w:tcBorders>
            <w:shd w:val="clear" w:color="auto" w:fill="auto"/>
            <w:noWrap/>
            <w:vAlign w:val="bottom"/>
            <w:hideMark/>
          </w:tcPr>
          <w:p w:rsidR="008C0AC3" w:rsidRPr="00542545" w:rsidRDefault="008C0AC3" w:rsidP="00542545">
            <w:pPr>
              <w:jc w:val="center"/>
              <w:rPr>
                <w:rFonts w:eastAsia="Times New Roman"/>
                <w:b/>
                <w:bCs/>
                <w:color w:val="000000"/>
                <w:sz w:val="22"/>
                <w:szCs w:val="22"/>
              </w:rPr>
            </w:pPr>
            <w:r w:rsidRPr="00542545">
              <w:rPr>
                <w:rFonts w:eastAsia="Times New Roman"/>
                <w:b/>
                <w:bCs/>
                <w:color w:val="000000"/>
                <w:sz w:val="22"/>
                <w:szCs w:val="22"/>
              </w:rPr>
              <w:t>O</w:t>
            </w:r>
            <w:r w:rsidR="00542545" w:rsidRPr="00542545">
              <w:rPr>
                <w:rFonts w:eastAsia="Times New Roman"/>
                <w:b/>
                <w:bCs/>
                <w:color w:val="000000"/>
                <w:sz w:val="22"/>
                <w:szCs w:val="22"/>
              </w:rPr>
              <w:t>ptimism</w:t>
            </w:r>
          </w:p>
        </w:tc>
      </w:tr>
      <w:tr w:rsidR="00542545" w:rsidRPr="008C0AC3" w:rsidTr="005E1519">
        <w:trPr>
          <w:trHeight w:val="600"/>
        </w:trPr>
        <w:tc>
          <w:tcPr>
            <w:tcW w:w="2410" w:type="dxa"/>
            <w:tcBorders>
              <w:top w:val="single" w:sz="4" w:space="0" w:color="auto"/>
              <w:left w:val="nil"/>
              <w:bottom w:val="nil"/>
              <w:right w:val="nil"/>
            </w:tcBorders>
            <w:shd w:val="clear" w:color="auto" w:fill="auto"/>
            <w:vAlign w:val="center"/>
            <w:hideMark/>
          </w:tcPr>
          <w:p w:rsidR="00542545" w:rsidRPr="00542545" w:rsidRDefault="00542545" w:rsidP="008C0AC3">
            <w:pPr>
              <w:rPr>
                <w:rFonts w:eastAsia="Times New Roman"/>
                <w:color w:val="000000"/>
                <w:sz w:val="22"/>
                <w:szCs w:val="22"/>
              </w:rPr>
            </w:pPr>
            <w:r w:rsidRPr="00542545">
              <w:rPr>
                <w:rFonts w:eastAsia="Times New Roman"/>
                <w:color w:val="000000"/>
                <w:sz w:val="22"/>
                <w:szCs w:val="22"/>
              </w:rPr>
              <w:t>Constant</w:t>
            </w:r>
          </w:p>
        </w:tc>
        <w:tc>
          <w:tcPr>
            <w:tcW w:w="1560" w:type="dxa"/>
            <w:tcBorders>
              <w:top w:val="single" w:sz="4" w:space="0" w:color="auto"/>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0.104***          (0.005)</w:t>
            </w:r>
          </w:p>
        </w:tc>
        <w:tc>
          <w:tcPr>
            <w:tcW w:w="1559" w:type="dxa"/>
            <w:tcBorders>
              <w:top w:val="single" w:sz="4" w:space="0" w:color="auto"/>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0.339***          (0.012)</w:t>
            </w:r>
          </w:p>
        </w:tc>
        <w:tc>
          <w:tcPr>
            <w:tcW w:w="1417" w:type="dxa"/>
            <w:tcBorders>
              <w:top w:val="single" w:sz="4" w:space="0" w:color="auto"/>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0.252***          (0.003)</w:t>
            </w:r>
          </w:p>
        </w:tc>
        <w:tc>
          <w:tcPr>
            <w:tcW w:w="1378" w:type="dxa"/>
            <w:tcBorders>
              <w:top w:val="single" w:sz="4" w:space="0" w:color="auto"/>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0.519***          (0.004)</w:t>
            </w:r>
          </w:p>
        </w:tc>
      </w:tr>
      <w:tr w:rsidR="00542545" w:rsidRPr="008C0AC3" w:rsidTr="005E1519">
        <w:trPr>
          <w:trHeight w:val="600"/>
        </w:trPr>
        <w:tc>
          <w:tcPr>
            <w:tcW w:w="2410" w:type="dxa"/>
            <w:tcBorders>
              <w:top w:val="nil"/>
              <w:left w:val="nil"/>
              <w:bottom w:val="nil"/>
              <w:right w:val="nil"/>
            </w:tcBorders>
            <w:shd w:val="clear" w:color="auto" w:fill="auto"/>
            <w:vAlign w:val="center"/>
            <w:hideMark/>
          </w:tcPr>
          <w:p w:rsidR="00542545" w:rsidRPr="00542545" w:rsidRDefault="00542545" w:rsidP="008C0AC3">
            <w:pPr>
              <w:rPr>
                <w:rFonts w:eastAsia="Times New Roman"/>
                <w:color w:val="000000"/>
                <w:sz w:val="22"/>
                <w:szCs w:val="22"/>
              </w:rPr>
            </w:pPr>
            <w:r w:rsidRPr="00542545">
              <w:rPr>
                <w:rFonts w:eastAsia="Times New Roman"/>
                <w:color w:val="000000"/>
                <w:sz w:val="22"/>
                <w:szCs w:val="22"/>
              </w:rPr>
              <w:t>CRR</w:t>
            </w:r>
          </w:p>
        </w:tc>
        <w:tc>
          <w:tcPr>
            <w:tcW w:w="1560"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0.004***          (0.001)</w:t>
            </w:r>
          </w:p>
        </w:tc>
        <w:tc>
          <w:tcPr>
            <w:tcW w:w="1559"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-0.004***          (0.001)</w:t>
            </w:r>
          </w:p>
        </w:tc>
        <w:tc>
          <w:tcPr>
            <w:tcW w:w="1417"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0.001          (0.002)</w:t>
            </w:r>
          </w:p>
        </w:tc>
        <w:tc>
          <w:tcPr>
            <w:tcW w:w="1378"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0.001          (0.001)</w:t>
            </w:r>
          </w:p>
        </w:tc>
      </w:tr>
      <w:tr w:rsidR="00542545" w:rsidRPr="008C0AC3" w:rsidTr="005E1519">
        <w:trPr>
          <w:trHeight w:val="600"/>
        </w:trPr>
        <w:tc>
          <w:tcPr>
            <w:tcW w:w="2410" w:type="dxa"/>
            <w:tcBorders>
              <w:top w:val="nil"/>
              <w:left w:val="nil"/>
              <w:bottom w:val="nil"/>
              <w:right w:val="nil"/>
            </w:tcBorders>
            <w:shd w:val="clear" w:color="auto" w:fill="auto"/>
            <w:noWrap/>
            <w:vAlign w:val="center"/>
            <w:hideMark/>
          </w:tcPr>
          <w:p w:rsidR="00542545" w:rsidRPr="00542545" w:rsidRDefault="00542545" w:rsidP="008C0AC3">
            <w:pPr>
              <w:rPr>
                <w:rFonts w:eastAsia="Times New Roman"/>
                <w:color w:val="000000"/>
                <w:sz w:val="22"/>
                <w:szCs w:val="22"/>
              </w:rPr>
            </w:pPr>
            <w:r w:rsidRPr="00542545">
              <w:rPr>
                <w:rFonts w:eastAsia="Times New Roman"/>
                <w:color w:val="000000"/>
                <w:sz w:val="22"/>
                <w:szCs w:val="22"/>
              </w:rPr>
              <w:t>Firm-Experience</w:t>
            </w:r>
          </w:p>
        </w:tc>
        <w:tc>
          <w:tcPr>
            <w:tcW w:w="1560"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0.003**          (0.002)</w:t>
            </w:r>
          </w:p>
        </w:tc>
        <w:tc>
          <w:tcPr>
            <w:tcW w:w="1559"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-0.009***          (0.002)</w:t>
            </w:r>
          </w:p>
        </w:tc>
        <w:tc>
          <w:tcPr>
            <w:tcW w:w="1417"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w:t>
            </w:r>
            <w:r>
              <w:rPr>
                <w:rFonts w:eastAsia="Times New Roman"/>
                <w:color w:val="000000"/>
                <w:sz w:val="22"/>
                <w:szCs w:val="22"/>
              </w:rPr>
              <w:t>.000</w:t>
            </w:r>
            <w:r w:rsidRPr="008C0AC3">
              <w:rPr>
                <w:rFonts w:eastAsia="Times New Roman"/>
                <w:color w:val="000000"/>
                <w:sz w:val="22"/>
                <w:szCs w:val="22"/>
              </w:rPr>
              <w:t xml:space="preserve">          (0.001)</w:t>
            </w:r>
          </w:p>
        </w:tc>
        <w:tc>
          <w:tcPr>
            <w:tcW w:w="1378"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-0.002          (0.003)</w:t>
            </w:r>
          </w:p>
        </w:tc>
      </w:tr>
      <w:tr w:rsidR="00542545" w:rsidRPr="008C0AC3" w:rsidTr="005E1519">
        <w:trPr>
          <w:trHeight w:val="600"/>
        </w:trPr>
        <w:tc>
          <w:tcPr>
            <w:tcW w:w="2410" w:type="dxa"/>
            <w:tcBorders>
              <w:top w:val="nil"/>
              <w:left w:val="nil"/>
              <w:bottom w:val="nil"/>
              <w:right w:val="nil"/>
            </w:tcBorders>
            <w:shd w:val="clear" w:color="auto" w:fill="auto"/>
            <w:noWrap/>
            <w:vAlign w:val="center"/>
            <w:hideMark/>
          </w:tcPr>
          <w:p w:rsidR="00542545" w:rsidRPr="00542545" w:rsidRDefault="00542545" w:rsidP="008C0AC3">
            <w:pPr>
              <w:rPr>
                <w:rFonts w:eastAsia="Times New Roman"/>
                <w:color w:val="000000"/>
                <w:sz w:val="22"/>
                <w:szCs w:val="22"/>
              </w:rPr>
            </w:pPr>
            <w:r w:rsidRPr="00542545">
              <w:rPr>
                <w:rFonts w:eastAsia="Times New Roman"/>
                <w:color w:val="000000"/>
                <w:sz w:val="22"/>
                <w:szCs w:val="22"/>
              </w:rPr>
              <w:t>Number of Companies</w:t>
            </w:r>
          </w:p>
        </w:tc>
        <w:tc>
          <w:tcPr>
            <w:tcW w:w="1560"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-0.003          (0.004)</w:t>
            </w:r>
          </w:p>
        </w:tc>
        <w:tc>
          <w:tcPr>
            <w:tcW w:w="1559"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-0.011***          (0.001)</w:t>
            </w:r>
          </w:p>
        </w:tc>
        <w:tc>
          <w:tcPr>
            <w:tcW w:w="1417"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-0.009***          (0.002)</w:t>
            </w:r>
          </w:p>
        </w:tc>
        <w:tc>
          <w:tcPr>
            <w:tcW w:w="1378"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0.003          (0.004)</w:t>
            </w:r>
          </w:p>
        </w:tc>
      </w:tr>
      <w:tr w:rsidR="00542545" w:rsidRPr="008C0AC3" w:rsidTr="005E1519">
        <w:trPr>
          <w:trHeight w:val="600"/>
        </w:trPr>
        <w:tc>
          <w:tcPr>
            <w:tcW w:w="2410" w:type="dxa"/>
            <w:tcBorders>
              <w:top w:val="nil"/>
              <w:left w:val="nil"/>
              <w:bottom w:val="nil"/>
              <w:right w:val="nil"/>
            </w:tcBorders>
            <w:shd w:val="clear" w:color="auto" w:fill="auto"/>
            <w:noWrap/>
            <w:vAlign w:val="center"/>
            <w:hideMark/>
          </w:tcPr>
          <w:p w:rsidR="00542545" w:rsidRPr="00542545" w:rsidRDefault="00542545" w:rsidP="00542545">
            <w:pPr>
              <w:rPr>
                <w:rFonts w:eastAsia="Times New Roman"/>
                <w:color w:val="000000"/>
                <w:sz w:val="22"/>
                <w:szCs w:val="22"/>
              </w:rPr>
            </w:pPr>
            <w:r w:rsidRPr="00542545">
              <w:rPr>
                <w:rFonts w:eastAsia="Times New Roman"/>
                <w:color w:val="000000"/>
                <w:sz w:val="22"/>
                <w:szCs w:val="22"/>
              </w:rPr>
              <w:t xml:space="preserve">Broker Size </w:t>
            </w:r>
          </w:p>
        </w:tc>
        <w:tc>
          <w:tcPr>
            <w:tcW w:w="1560"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0.063***          (0.008)</w:t>
            </w:r>
          </w:p>
        </w:tc>
        <w:tc>
          <w:tcPr>
            <w:tcW w:w="1559"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0.004***          (0.001)</w:t>
            </w:r>
          </w:p>
        </w:tc>
        <w:tc>
          <w:tcPr>
            <w:tcW w:w="1417"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0.026***          (0.004)</w:t>
            </w:r>
          </w:p>
        </w:tc>
        <w:tc>
          <w:tcPr>
            <w:tcW w:w="1378" w:type="dxa"/>
            <w:tcBorders>
              <w:top w:val="nil"/>
              <w:left w:val="nil"/>
              <w:bottom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-0.02***          (0.005)</w:t>
            </w:r>
          </w:p>
        </w:tc>
      </w:tr>
      <w:tr w:rsidR="00542545" w:rsidRPr="008C0AC3" w:rsidTr="005E1519">
        <w:trPr>
          <w:trHeight w:val="600"/>
        </w:trPr>
        <w:tc>
          <w:tcPr>
            <w:tcW w:w="2410" w:type="dxa"/>
            <w:tcBorders>
              <w:top w:val="nil"/>
              <w:left w:val="nil"/>
              <w:right w:val="nil"/>
            </w:tcBorders>
            <w:shd w:val="clear" w:color="auto" w:fill="auto"/>
            <w:noWrap/>
            <w:vAlign w:val="center"/>
            <w:hideMark/>
          </w:tcPr>
          <w:p w:rsidR="00542545" w:rsidRPr="00542545" w:rsidRDefault="00542545" w:rsidP="008C0AC3">
            <w:pPr>
              <w:rPr>
                <w:rFonts w:eastAsia="Times New Roman"/>
                <w:color w:val="000000"/>
                <w:sz w:val="22"/>
                <w:szCs w:val="22"/>
              </w:rPr>
            </w:pPr>
            <w:r w:rsidRPr="00542545">
              <w:rPr>
                <w:rFonts w:eastAsia="Times New Roman"/>
                <w:color w:val="000000"/>
                <w:sz w:val="22"/>
                <w:szCs w:val="22"/>
              </w:rPr>
              <w:t>Number of Industries</w:t>
            </w:r>
          </w:p>
        </w:tc>
        <w:tc>
          <w:tcPr>
            <w:tcW w:w="1560" w:type="dxa"/>
            <w:tcBorders>
              <w:top w:val="nil"/>
              <w:left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-0.003          (0.004)</w:t>
            </w:r>
          </w:p>
        </w:tc>
        <w:tc>
          <w:tcPr>
            <w:tcW w:w="1559" w:type="dxa"/>
            <w:tcBorders>
              <w:top w:val="nil"/>
              <w:left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0.008***          (0.003)</w:t>
            </w:r>
          </w:p>
        </w:tc>
        <w:tc>
          <w:tcPr>
            <w:tcW w:w="1417" w:type="dxa"/>
            <w:tcBorders>
              <w:top w:val="nil"/>
              <w:left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 xml:space="preserve">0 </w:t>
            </w:r>
            <w:r>
              <w:rPr>
                <w:rFonts w:eastAsia="Times New Roman"/>
                <w:color w:val="000000"/>
                <w:sz w:val="22"/>
                <w:szCs w:val="22"/>
              </w:rPr>
              <w:t>.000</w:t>
            </w:r>
            <w:r w:rsidRPr="008C0AC3">
              <w:rPr>
                <w:rFonts w:eastAsia="Times New Roman"/>
                <w:color w:val="000000"/>
                <w:sz w:val="22"/>
                <w:szCs w:val="22"/>
              </w:rPr>
              <w:t xml:space="preserve">         (0.003)</w:t>
            </w:r>
          </w:p>
        </w:tc>
        <w:tc>
          <w:tcPr>
            <w:tcW w:w="1378" w:type="dxa"/>
            <w:tcBorders>
              <w:top w:val="nil"/>
              <w:left w:val="nil"/>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-0.001          (0.002)</w:t>
            </w:r>
          </w:p>
        </w:tc>
      </w:tr>
      <w:tr w:rsidR="00542545" w:rsidRPr="008C0AC3" w:rsidTr="005E1519">
        <w:trPr>
          <w:trHeight w:val="600"/>
        </w:trPr>
        <w:tc>
          <w:tcPr>
            <w:tcW w:w="2410" w:type="dxa"/>
            <w:tcBorders>
              <w:top w:val="nil"/>
              <w:left w:val="nil"/>
              <w:bottom w:val="single" w:sz="4" w:space="0" w:color="auto"/>
              <w:right w:val="nil"/>
            </w:tcBorders>
            <w:shd w:val="clear" w:color="auto" w:fill="auto"/>
            <w:noWrap/>
            <w:vAlign w:val="center"/>
            <w:hideMark/>
          </w:tcPr>
          <w:p w:rsidR="00542545" w:rsidRPr="00542545" w:rsidRDefault="00542545" w:rsidP="008C0AC3">
            <w:pPr>
              <w:rPr>
                <w:rFonts w:eastAsia="Times New Roman"/>
                <w:color w:val="000000"/>
                <w:sz w:val="22"/>
                <w:szCs w:val="22"/>
              </w:rPr>
            </w:pPr>
            <w:r w:rsidRPr="00542545">
              <w:rPr>
                <w:rFonts w:eastAsia="Times New Roman"/>
                <w:color w:val="000000"/>
                <w:sz w:val="22"/>
                <w:szCs w:val="22"/>
              </w:rPr>
              <w:t>Forecast Frequency</w:t>
            </w:r>
          </w:p>
        </w:tc>
        <w:tc>
          <w:tcPr>
            <w:tcW w:w="1560" w:type="dxa"/>
            <w:tcBorders>
              <w:top w:val="nil"/>
              <w:left w:val="nil"/>
              <w:bottom w:val="single" w:sz="4" w:space="0" w:color="auto"/>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0.032***          (0.004)</w:t>
            </w:r>
          </w:p>
        </w:tc>
        <w:tc>
          <w:tcPr>
            <w:tcW w:w="1559" w:type="dxa"/>
            <w:tcBorders>
              <w:top w:val="nil"/>
              <w:left w:val="nil"/>
              <w:bottom w:val="single" w:sz="4" w:space="0" w:color="auto"/>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0.013***          (0.001)</w:t>
            </w:r>
          </w:p>
        </w:tc>
        <w:tc>
          <w:tcPr>
            <w:tcW w:w="1417" w:type="dxa"/>
            <w:tcBorders>
              <w:top w:val="nil"/>
              <w:left w:val="nil"/>
              <w:bottom w:val="single" w:sz="4" w:space="0" w:color="auto"/>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-0.002          (0.002)</w:t>
            </w:r>
          </w:p>
        </w:tc>
        <w:tc>
          <w:tcPr>
            <w:tcW w:w="1378" w:type="dxa"/>
            <w:tcBorders>
              <w:top w:val="nil"/>
              <w:left w:val="nil"/>
              <w:bottom w:val="single" w:sz="4" w:space="0" w:color="auto"/>
              <w:right w:val="nil"/>
            </w:tcBorders>
            <w:shd w:val="clear" w:color="auto" w:fill="auto"/>
            <w:vAlign w:val="bottom"/>
            <w:hideMark/>
          </w:tcPr>
          <w:p w:rsidR="00542545" w:rsidRPr="008C0AC3" w:rsidRDefault="00542545" w:rsidP="008C0AC3">
            <w:pPr>
              <w:jc w:val="center"/>
              <w:rPr>
                <w:rFonts w:eastAsia="Times New Roman"/>
                <w:color w:val="000000"/>
                <w:sz w:val="22"/>
                <w:szCs w:val="22"/>
              </w:rPr>
            </w:pPr>
            <w:r w:rsidRPr="008C0AC3">
              <w:rPr>
                <w:rFonts w:eastAsia="Times New Roman"/>
                <w:color w:val="000000"/>
                <w:sz w:val="22"/>
                <w:szCs w:val="22"/>
              </w:rPr>
              <w:t>0.005***          (0.002)</w:t>
            </w:r>
          </w:p>
        </w:tc>
      </w:tr>
    </w:tbl>
    <w:p w:rsidR="005E1519" w:rsidRPr="005E1519" w:rsidRDefault="00AB3683" w:rsidP="00223E29">
      <w:pPr>
        <w:jc w:val="both"/>
        <w:rPr>
          <w:bCs/>
          <w:sz w:val="22"/>
          <w:szCs w:val="22"/>
        </w:rPr>
      </w:pPr>
      <w:r>
        <w:rPr>
          <w:sz w:val="22"/>
          <w:szCs w:val="22"/>
        </w:rPr>
        <w:t xml:space="preserve">Panel A </w:t>
      </w:r>
      <w:r w:rsidR="000338A8">
        <w:rPr>
          <w:sz w:val="22"/>
          <w:szCs w:val="22"/>
        </w:rPr>
        <w:t xml:space="preserve">shows descriptive statistics of analyst characteristics. Cumulative Reaction Ratio is computed as </w:t>
      </w:r>
      <w:r w:rsidR="000338A8" w:rsidRPr="000338A8">
        <w:rPr>
          <w:bCs/>
          <w:sz w:val="22"/>
          <w:szCs w:val="22"/>
          <w:lang w:val="en-CA"/>
        </w:rPr>
        <w:t xml:space="preserve">the cumulative number of 8-K reports filed by the company to which the analyst reacted scaled by the total number of 8-K reports filed by company. </w:t>
      </w:r>
      <w:r w:rsidR="000338A8">
        <w:rPr>
          <w:bCs/>
          <w:sz w:val="22"/>
          <w:szCs w:val="22"/>
          <w:lang w:val="en-CA"/>
        </w:rPr>
        <w:t xml:space="preserve">Firm Experience is the number of years the analyst covers the company; Number of Companies (Industries) is the number of companies (unique two-digits SIC) covered by the analyst during the year; Broker Size is the number of analysts employed by the brokerage; Forecast Frequency is the number of company-forecasts issued by the analyst during the year. </w:t>
      </w:r>
      <w:r w:rsidR="00EA7CEA">
        <w:rPr>
          <w:bCs/>
          <w:sz w:val="22"/>
          <w:szCs w:val="22"/>
          <w:lang w:val="en-CA"/>
        </w:rPr>
        <w:t>Number of unique Firm-Year-Analyst</w:t>
      </w:r>
      <w:r w:rsidR="00E16207">
        <w:rPr>
          <w:bCs/>
          <w:sz w:val="22"/>
          <w:szCs w:val="22"/>
          <w:lang w:val="en-CA"/>
        </w:rPr>
        <w:t>s</w:t>
      </w:r>
      <w:r w:rsidR="00EA7CEA">
        <w:rPr>
          <w:bCs/>
          <w:sz w:val="22"/>
          <w:szCs w:val="22"/>
          <w:lang w:val="en-CA"/>
        </w:rPr>
        <w:t xml:space="preserve"> is 71,541. </w:t>
      </w:r>
      <w:r w:rsidR="000C6EF2">
        <w:rPr>
          <w:bCs/>
          <w:sz w:val="22"/>
          <w:szCs w:val="22"/>
          <w:lang w:val="en-CA"/>
        </w:rPr>
        <w:t>Panel B shows analyst's characteristic conditioned on positive and zero CRR. Panel C (D) presents mean, standard deviation</w:t>
      </w:r>
      <w:r w:rsidR="00E16207">
        <w:rPr>
          <w:bCs/>
          <w:sz w:val="22"/>
          <w:szCs w:val="22"/>
          <w:lang w:val="en-CA"/>
        </w:rPr>
        <w:t>,</w:t>
      </w:r>
      <w:r w:rsidR="000C6EF2">
        <w:rPr>
          <w:bCs/>
          <w:sz w:val="22"/>
          <w:szCs w:val="22"/>
          <w:lang w:val="en-CA"/>
        </w:rPr>
        <w:t xml:space="preserve"> and interquartile range of CRR at the firm-year (analyst-year) level. Panel E shows the regression results of the performance measures on analyst characteristics. </w:t>
      </w:r>
      <w:r w:rsidR="005E1519">
        <w:rPr>
          <w:bCs/>
          <w:sz w:val="22"/>
          <w:szCs w:val="22"/>
        </w:rPr>
        <w:t>T</w:t>
      </w:r>
      <w:r w:rsidR="005E1519" w:rsidRPr="005E1519">
        <w:rPr>
          <w:bCs/>
          <w:sz w:val="22"/>
          <w:szCs w:val="22"/>
        </w:rPr>
        <w:t xml:space="preserve">imeliness is based on the number of days between the analyst forecast and the forecast by other analysts that precede and follow it. Specifically, for each forecast we compute Leading Days as the number of days between the forecast and the two most immediate forecasts by any other analyst following the forecast date. Similarly, we compute Following Days as the number of days between the analyst forecast and the two most recent </w:t>
      </w:r>
      <w:r w:rsidR="00223E29" w:rsidRPr="005E1519">
        <w:rPr>
          <w:bCs/>
          <w:sz w:val="22"/>
          <w:szCs w:val="22"/>
        </w:rPr>
        <w:t>forecasts</w:t>
      </w:r>
      <w:r w:rsidR="005E1519" w:rsidRPr="005E1519">
        <w:rPr>
          <w:bCs/>
          <w:sz w:val="22"/>
          <w:szCs w:val="22"/>
        </w:rPr>
        <w:t xml:space="preserve"> by any other analysts issued prior to the forecast date. We compute Timeliness as the ratio of leading days to following days. Boldness is computed as the absolute value of the difference between the forecast and the consensus forecast scaled by the beginning of the year price per share. We compute the consensus forecast as the mean of all analysts’ most recent forecasts issued during the 90-day period prior to the forecast date. Optimism is computed as the difference between the forecast and actual earnings scaled by the beginning of the year price per share. </w:t>
      </w:r>
      <w:r w:rsidR="005E1519">
        <w:rPr>
          <w:bCs/>
          <w:sz w:val="22"/>
          <w:szCs w:val="22"/>
        </w:rPr>
        <w:t xml:space="preserve">All variables in the regressions are </w:t>
      </w:r>
      <w:r w:rsidR="006D377E">
        <w:rPr>
          <w:bCs/>
          <w:sz w:val="22"/>
          <w:szCs w:val="22"/>
        </w:rPr>
        <w:t>standardized</w:t>
      </w:r>
      <w:r w:rsidR="005E1519">
        <w:rPr>
          <w:bCs/>
          <w:sz w:val="22"/>
          <w:szCs w:val="22"/>
        </w:rPr>
        <w:t xml:space="preserve"> </w:t>
      </w:r>
      <w:r w:rsidR="00E16207">
        <w:rPr>
          <w:b/>
          <w:bCs/>
        </w:rPr>
        <w:t>–</w:t>
      </w:r>
      <w:r w:rsidR="005E1519">
        <w:rPr>
          <w:bCs/>
          <w:sz w:val="22"/>
          <w:szCs w:val="22"/>
        </w:rPr>
        <w:t xml:space="preserve"> </w:t>
      </w:r>
      <w:r w:rsidR="005E1519" w:rsidRPr="005E1519">
        <w:rPr>
          <w:bCs/>
          <w:sz w:val="22"/>
          <w:szCs w:val="22"/>
        </w:rPr>
        <w:t xml:space="preserve">we </w:t>
      </w:r>
      <w:r w:rsidR="006D377E" w:rsidRPr="005E1519">
        <w:rPr>
          <w:bCs/>
          <w:sz w:val="22"/>
          <w:szCs w:val="22"/>
        </w:rPr>
        <w:t>subtract</w:t>
      </w:r>
      <w:r w:rsidR="005E1519" w:rsidRPr="005E1519">
        <w:rPr>
          <w:bCs/>
          <w:sz w:val="22"/>
          <w:szCs w:val="22"/>
        </w:rPr>
        <w:t xml:space="preserve"> from each variable its minimum value for firm </w:t>
      </w:r>
      <w:r w:rsidR="005E1519" w:rsidRPr="00EE241D">
        <w:rPr>
          <w:bCs/>
          <w:i/>
          <w:sz w:val="22"/>
          <w:szCs w:val="22"/>
        </w:rPr>
        <w:t>j</w:t>
      </w:r>
      <w:r w:rsidR="005E1519" w:rsidRPr="005E1519">
        <w:rPr>
          <w:bCs/>
          <w:sz w:val="22"/>
          <w:szCs w:val="22"/>
        </w:rPr>
        <w:t xml:space="preserve"> in year</w:t>
      </w:r>
      <w:r w:rsidR="005E1519" w:rsidRPr="00EE241D">
        <w:rPr>
          <w:bCs/>
          <w:i/>
          <w:sz w:val="22"/>
          <w:szCs w:val="22"/>
        </w:rPr>
        <w:t xml:space="preserve"> t</w:t>
      </w:r>
      <w:r w:rsidR="005E1519" w:rsidRPr="005E1519">
        <w:rPr>
          <w:bCs/>
          <w:sz w:val="22"/>
          <w:szCs w:val="22"/>
        </w:rPr>
        <w:t xml:space="preserve"> and scale the difference by the difference between the maximum and minimum value of the variable for firm</w:t>
      </w:r>
      <w:r w:rsidR="005E1519" w:rsidRPr="00EE241D">
        <w:rPr>
          <w:bCs/>
          <w:i/>
          <w:sz w:val="22"/>
          <w:szCs w:val="22"/>
        </w:rPr>
        <w:t xml:space="preserve"> j</w:t>
      </w:r>
      <w:r w:rsidR="005E1519" w:rsidRPr="005E1519">
        <w:rPr>
          <w:bCs/>
          <w:sz w:val="22"/>
          <w:szCs w:val="22"/>
        </w:rPr>
        <w:t xml:space="preserve"> in year </w:t>
      </w:r>
      <w:r w:rsidR="005E1519" w:rsidRPr="00EE241D">
        <w:rPr>
          <w:bCs/>
          <w:i/>
          <w:sz w:val="22"/>
          <w:szCs w:val="22"/>
        </w:rPr>
        <w:t>t</w:t>
      </w:r>
      <w:r w:rsidR="005E1519" w:rsidRPr="005E1519">
        <w:rPr>
          <w:bCs/>
          <w:sz w:val="22"/>
          <w:szCs w:val="22"/>
        </w:rPr>
        <w:t>.</w:t>
      </w:r>
    </w:p>
    <w:p w:rsidR="008C0AC3" w:rsidRPr="0054036D" w:rsidRDefault="008C0AC3" w:rsidP="006D7812">
      <w:pPr>
        <w:jc w:val="both"/>
        <w:rPr>
          <w:sz w:val="22"/>
          <w:szCs w:val="22"/>
        </w:rPr>
      </w:pPr>
    </w:p>
    <w:sectPr w:rsidR="008C0AC3" w:rsidRPr="0054036D" w:rsidSect="001B1DE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8C" w:rsidRDefault="002A458C" w:rsidP="006D7812">
      <w:r>
        <w:separator/>
      </w:r>
    </w:p>
  </w:endnote>
  <w:endnote w:type="continuationSeparator" w:id="0">
    <w:p w:rsidR="002A458C" w:rsidRDefault="002A458C" w:rsidP="006D78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021658"/>
      <w:docPartObj>
        <w:docPartGallery w:val="Page Numbers (Bottom of Page)"/>
        <w:docPartUnique/>
      </w:docPartObj>
    </w:sdtPr>
    <w:sdtContent>
      <w:p w:rsidR="00302A78" w:rsidRDefault="003004F9">
        <w:pPr>
          <w:pStyle w:val="Footer"/>
          <w:jc w:val="center"/>
        </w:pPr>
        <w:r>
          <w:fldChar w:fldCharType="begin"/>
        </w:r>
        <w:r w:rsidR="00302A78">
          <w:instrText xml:space="preserve"> PAGE   \* MERGEFORMAT </w:instrText>
        </w:r>
        <w:r>
          <w:fldChar w:fldCharType="separate"/>
        </w:r>
        <w:r w:rsidR="00864EDD">
          <w:rPr>
            <w:noProof/>
          </w:rPr>
          <w:t>1</w:t>
        </w:r>
        <w:r>
          <w:rPr>
            <w:noProof/>
          </w:rPr>
          <w:fldChar w:fldCharType="end"/>
        </w:r>
      </w:p>
    </w:sdtContent>
  </w:sdt>
  <w:p w:rsidR="00302A78" w:rsidRDefault="00302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8C" w:rsidRDefault="002A458C" w:rsidP="006D7812">
      <w:r>
        <w:separator/>
      </w:r>
    </w:p>
  </w:footnote>
  <w:footnote w:type="continuationSeparator" w:id="0">
    <w:p w:rsidR="002A458C" w:rsidRDefault="002A458C" w:rsidP="006D7812">
      <w:r>
        <w:continuationSeparator/>
      </w:r>
    </w:p>
  </w:footnote>
  <w:footnote w:id="1">
    <w:p w:rsidR="00302A78" w:rsidRDefault="00302A78" w:rsidP="004D1EAE">
      <w:pPr>
        <w:pStyle w:val="FootnoteText"/>
        <w:jc w:val="both"/>
      </w:pPr>
      <w:r>
        <w:rPr>
          <w:rStyle w:val="FootnoteReference"/>
        </w:rPr>
        <w:footnoteRef/>
      </w:r>
      <w:r>
        <w:t xml:space="preserve"> </w:t>
      </w:r>
      <w:r w:rsidRPr="00963F57">
        <w:rPr>
          <w:rFonts w:ascii="Times New Roman" w:hAnsi="Times New Roman" w:cs="Times New Roman"/>
          <w:sz w:val="20"/>
          <w:szCs w:val="20"/>
        </w:rPr>
        <w:t xml:space="preserve">Analysts have </w:t>
      </w:r>
      <w:r>
        <w:rPr>
          <w:rFonts w:ascii="Times New Roman" w:hAnsi="Times New Roman" w:cs="Times New Roman"/>
          <w:sz w:val="20"/>
          <w:szCs w:val="20"/>
        </w:rPr>
        <w:t xml:space="preserve">an </w:t>
      </w:r>
      <w:r w:rsidRPr="00963F57">
        <w:rPr>
          <w:rFonts w:ascii="Times New Roman" w:hAnsi="Times New Roman" w:cs="Times New Roman"/>
          <w:sz w:val="20"/>
          <w:szCs w:val="20"/>
        </w:rPr>
        <w:t xml:space="preserve">additional role </w:t>
      </w:r>
      <w:r>
        <w:rPr>
          <w:rFonts w:ascii="Times New Roman" w:hAnsi="Times New Roman" w:cs="Times New Roman"/>
          <w:sz w:val="20"/>
          <w:szCs w:val="20"/>
        </w:rPr>
        <w:t>of</w:t>
      </w:r>
      <w:r w:rsidRPr="00963F57">
        <w:rPr>
          <w:rFonts w:ascii="Times New Roman" w:hAnsi="Times New Roman" w:cs="Times New Roman"/>
          <w:sz w:val="20"/>
          <w:szCs w:val="20"/>
        </w:rPr>
        <w:t xml:space="preserve"> information discovery. In this role, analysts obtain private information which allows them to make superior forecasts and even to preempt public disclosure (Chen et al., 2010)</w:t>
      </w:r>
      <w:r>
        <w:rPr>
          <w:rFonts w:ascii="Times New Roman" w:hAnsi="Times New Roman" w:cs="Times New Roman"/>
          <w:sz w:val="20"/>
          <w:szCs w:val="20"/>
        </w:rPr>
        <w:t>.</w:t>
      </w:r>
    </w:p>
  </w:footnote>
  <w:footnote w:id="2">
    <w:p w:rsidR="00302A78" w:rsidRDefault="00302A78" w:rsidP="004D1EAE">
      <w:pPr>
        <w:pStyle w:val="FootnoteText"/>
        <w:jc w:val="both"/>
      </w:pPr>
      <w:r>
        <w:rPr>
          <w:rStyle w:val="FootnoteReference"/>
        </w:rPr>
        <w:footnoteRef/>
      </w:r>
      <w:r>
        <w:t xml:space="preserve"> </w:t>
      </w:r>
      <w:r w:rsidRPr="00CF49C7">
        <w:rPr>
          <w:rFonts w:ascii="Times New Roman" w:hAnsi="Times New Roman" w:cs="Times New Roman"/>
          <w:sz w:val="20"/>
          <w:szCs w:val="20"/>
        </w:rPr>
        <w:t xml:space="preserve">Livnat and Zhang (2012) focus on whether investors value more </w:t>
      </w:r>
      <w:r>
        <w:rPr>
          <w:rFonts w:ascii="Times New Roman" w:hAnsi="Times New Roman" w:cs="Times New Roman"/>
          <w:sz w:val="20"/>
          <w:szCs w:val="20"/>
        </w:rPr>
        <w:t xml:space="preserve">the </w:t>
      </w:r>
      <w:r w:rsidRPr="00CF49C7">
        <w:rPr>
          <w:rFonts w:ascii="Times New Roman" w:hAnsi="Times New Roman" w:cs="Times New Roman"/>
          <w:sz w:val="20"/>
          <w:szCs w:val="20"/>
        </w:rPr>
        <w:t xml:space="preserve">information </w:t>
      </w:r>
      <w:r>
        <w:rPr>
          <w:rFonts w:ascii="Times New Roman" w:hAnsi="Times New Roman" w:cs="Times New Roman"/>
          <w:sz w:val="20"/>
          <w:szCs w:val="20"/>
        </w:rPr>
        <w:t>or</w:t>
      </w:r>
      <w:r w:rsidRPr="00CF49C7">
        <w:rPr>
          <w:rFonts w:ascii="Times New Roman" w:hAnsi="Times New Roman" w:cs="Times New Roman"/>
          <w:sz w:val="20"/>
          <w:szCs w:val="20"/>
        </w:rPr>
        <w:t xml:space="preserve"> discovery </w:t>
      </w:r>
      <w:r>
        <w:rPr>
          <w:rFonts w:ascii="Times New Roman" w:hAnsi="Times New Roman" w:cs="Times New Roman"/>
          <w:sz w:val="20"/>
          <w:szCs w:val="20"/>
        </w:rPr>
        <w:t xml:space="preserve">role of </w:t>
      </w:r>
      <w:r w:rsidRPr="00CF49C7">
        <w:rPr>
          <w:rFonts w:ascii="Times New Roman" w:hAnsi="Times New Roman" w:cs="Times New Roman"/>
          <w:sz w:val="20"/>
          <w:szCs w:val="20"/>
        </w:rPr>
        <w:t xml:space="preserve">analysts. Although they provide statistics on </w:t>
      </w:r>
      <w:r>
        <w:rPr>
          <w:rFonts w:ascii="Times New Roman" w:hAnsi="Times New Roman" w:cs="Times New Roman"/>
          <w:sz w:val="20"/>
          <w:szCs w:val="20"/>
        </w:rPr>
        <w:t>analysts'</w:t>
      </w:r>
      <w:r w:rsidRPr="00CF49C7">
        <w:rPr>
          <w:rFonts w:ascii="Times New Roman" w:hAnsi="Times New Roman" w:cs="Times New Roman"/>
          <w:sz w:val="20"/>
          <w:szCs w:val="20"/>
        </w:rPr>
        <w:t xml:space="preserve"> reaction to various disclosure</w:t>
      </w:r>
      <w:r>
        <w:rPr>
          <w:rFonts w:ascii="Times New Roman" w:hAnsi="Times New Roman" w:cs="Times New Roman"/>
          <w:sz w:val="20"/>
          <w:szCs w:val="20"/>
        </w:rPr>
        <w:t>s</w:t>
      </w:r>
      <w:r w:rsidRPr="00CF49C7">
        <w:rPr>
          <w:rFonts w:ascii="Times New Roman" w:hAnsi="Times New Roman" w:cs="Times New Roman"/>
          <w:sz w:val="20"/>
          <w:szCs w:val="20"/>
        </w:rPr>
        <w:t xml:space="preserve"> made by the firm, they do not investigate the </w:t>
      </w:r>
      <w:r>
        <w:rPr>
          <w:rFonts w:ascii="Times New Roman" w:hAnsi="Times New Roman" w:cs="Times New Roman"/>
          <w:sz w:val="20"/>
          <w:szCs w:val="20"/>
        </w:rPr>
        <w:t>difference between</w:t>
      </w:r>
      <w:r w:rsidRPr="00CF49C7">
        <w:rPr>
          <w:rFonts w:ascii="Times New Roman" w:hAnsi="Times New Roman" w:cs="Times New Roman"/>
          <w:sz w:val="20"/>
          <w:szCs w:val="20"/>
        </w:rPr>
        <w:t xml:space="preserve"> reaction </w:t>
      </w:r>
      <w:r>
        <w:rPr>
          <w:rFonts w:ascii="Times New Roman" w:hAnsi="Times New Roman" w:cs="Times New Roman"/>
          <w:sz w:val="20"/>
          <w:szCs w:val="20"/>
        </w:rPr>
        <w:t xml:space="preserve">to earnings news compared to non-earnings news, </w:t>
      </w:r>
      <w:r w:rsidRPr="00CF49C7">
        <w:rPr>
          <w:rFonts w:ascii="Times New Roman" w:hAnsi="Times New Roman" w:cs="Times New Roman"/>
          <w:sz w:val="20"/>
          <w:szCs w:val="20"/>
        </w:rPr>
        <w:t xml:space="preserve">and </w:t>
      </w:r>
      <w:r>
        <w:rPr>
          <w:rFonts w:ascii="Times New Roman" w:hAnsi="Times New Roman" w:cs="Times New Roman"/>
          <w:sz w:val="20"/>
          <w:szCs w:val="20"/>
        </w:rPr>
        <w:t xml:space="preserve">they do not focus on the relation between analysts' reaction and </w:t>
      </w:r>
      <w:r w:rsidRPr="00CF49C7">
        <w:rPr>
          <w:rFonts w:ascii="Times New Roman" w:hAnsi="Times New Roman" w:cs="Times New Roman"/>
          <w:sz w:val="20"/>
          <w:szCs w:val="20"/>
        </w:rPr>
        <w:t>skill.</w:t>
      </w:r>
    </w:p>
  </w:footnote>
  <w:footnote w:id="3">
    <w:p w:rsidR="00302A78" w:rsidRDefault="00302A78" w:rsidP="00A941E7">
      <w:pPr>
        <w:pStyle w:val="FootnoteText"/>
        <w:jc w:val="both"/>
      </w:pPr>
      <w:r>
        <w:rPr>
          <w:rStyle w:val="FootnoteReference"/>
        </w:rPr>
        <w:footnoteRef/>
      </w:r>
      <w:r>
        <w:t xml:space="preserve"> </w:t>
      </w:r>
      <w:r w:rsidRPr="00963F57">
        <w:rPr>
          <w:rFonts w:ascii="Times New Roman" w:hAnsi="Times New Roman" w:cs="Times New Roman"/>
          <w:sz w:val="20"/>
          <w:szCs w:val="20"/>
        </w:rPr>
        <w:t>We use a cumulative measure rather than an annual measure because the reporting of 8-K reports is largely idiosyncratic and varies over time. Hence, a cumulative measure would be a better indicator of the analyst's ability</w:t>
      </w:r>
      <w:r>
        <w:rPr>
          <w:rFonts w:ascii="Times New Roman" w:hAnsi="Times New Roman" w:cs="Times New Roman"/>
          <w:sz w:val="20"/>
          <w:szCs w:val="20"/>
        </w:rPr>
        <w:t>,</w:t>
      </w:r>
      <w:r w:rsidRPr="00963F57">
        <w:rPr>
          <w:rFonts w:ascii="Times New Roman" w:hAnsi="Times New Roman" w:cs="Times New Roman"/>
          <w:sz w:val="20"/>
          <w:szCs w:val="20"/>
        </w:rPr>
        <w:t xml:space="preserve"> and </w:t>
      </w:r>
      <w:r>
        <w:rPr>
          <w:rFonts w:ascii="Times New Roman" w:hAnsi="Times New Roman" w:cs="Times New Roman"/>
          <w:sz w:val="20"/>
          <w:szCs w:val="20"/>
        </w:rPr>
        <w:t xml:space="preserve">is </w:t>
      </w:r>
      <w:r w:rsidRPr="00963F57">
        <w:rPr>
          <w:rFonts w:ascii="Times New Roman" w:hAnsi="Times New Roman" w:cs="Times New Roman"/>
          <w:sz w:val="20"/>
          <w:szCs w:val="20"/>
        </w:rPr>
        <w:t>subject to less variability over time</w:t>
      </w:r>
      <w:r>
        <w:rPr>
          <w:rFonts w:ascii="Times New Roman" w:hAnsi="Times New Roman" w:cs="Times New Roman"/>
          <w:sz w:val="20"/>
          <w:szCs w:val="20"/>
        </w:rPr>
        <w:t xml:space="preserve"> (See Section 4.2)</w:t>
      </w:r>
      <w:r w:rsidRPr="00963F57">
        <w:rPr>
          <w:rFonts w:ascii="Times New Roman" w:hAnsi="Times New Roman" w:cs="Times New Roman"/>
          <w:sz w:val="20"/>
          <w:szCs w:val="20"/>
        </w:rPr>
        <w:t>.</w:t>
      </w:r>
      <w:r w:rsidRPr="009D5132">
        <w:rPr>
          <w:bCs/>
          <w:lang w:val="en-CA"/>
        </w:rPr>
        <w:t xml:space="preserve"> </w:t>
      </w:r>
    </w:p>
  </w:footnote>
  <w:footnote w:id="4">
    <w:p w:rsidR="00302A78" w:rsidRDefault="00302A78" w:rsidP="004D1EAE">
      <w:pPr>
        <w:pStyle w:val="FootnoteText1"/>
        <w:jc w:val="both"/>
      </w:pPr>
      <w:r w:rsidRPr="00B770BF">
        <w:rPr>
          <w:rStyle w:val="FootnoteReference"/>
          <w:rFonts w:ascii="Times New Roman" w:hAnsi="Times New Roman" w:cs="Times New Roman"/>
          <w:sz w:val="20"/>
          <w:szCs w:val="20"/>
        </w:rPr>
        <w:footnoteRef/>
      </w:r>
      <w:r>
        <w:rPr>
          <w:rStyle w:val="FootnoteCharacters"/>
          <w:rFonts w:cs="Cambria"/>
          <w:sz w:val="20"/>
          <w:szCs w:val="20"/>
        </w:rPr>
        <w:t xml:space="preserve"> </w:t>
      </w:r>
      <w:r>
        <w:rPr>
          <w:rFonts w:ascii="Times New Roman" w:hAnsi="Times New Roman" w:cs="Times New Roman"/>
          <w:sz w:val="20"/>
          <w:szCs w:val="20"/>
        </w:rPr>
        <w:t xml:space="preserve">See </w:t>
      </w:r>
      <w:r>
        <w:rPr>
          <w:rFonts w:ascii="Times New Roman" w:hAnsi="Times New Roman" w:cs="Times New Roman"/>
          <w:i/>
          <w:iCs/>
          <w:sz w:val="20"/>
          <w:szCs w:val="20"/>
        </w:rPr>
        <w:t>Appendix 1</w:t>
      </w:r>
      <w:r>
        <w:rPr>
          <w:rFonts w:ascii="Times New Roman" w:hAnsi="Times New Roman" w:cs="Times New Roman"/>
          <w:sz w:val="20"/>
          <w:szCs w:val="20"/>
        </w:rPr>
        <w:t xml:space="preserve"> for a complete list of events reported on current Form 8-K. </w:t>
      </w:r>
    </w:p>
  </w:footnote>
  <w:footnote w:id="5">
    <w:p w:rsidR="00302A78" w:rsidRPr="000B436B" w:rsidRDefault="00302A78" w:rsidP="00021C1A">
      <w:pPr>
        <w:pStyle w:val="FootnoteText"/>
        <w:jc w:val="both"/>
        <w:rPr>
          <w:rFonts w:ascii="Times New Roman" w:eastAsia="Times New Roman" w:hAnsi="Times New Roman" w:cs="Times New Roman"/>
          <w:bCs/>
          <w:sz w:val="20"/>
          <w:szCs w:val="20"/>
        </w:rPr>
      </w:pPr>
      <w:r>
        <w:rPr>
          <w:rStyle w:val="FootnoteReference"/>
        </w:rPr>
        <w:footnoteRef/>
      </w:r>
      <w:r>
        <w:t xml:space="preserve"> </w:t>
      </w:r>
      <w:r w:rsidRPr="000B436B">
        <w:rPr>
          <w:rFonts w:ascii="Times New Roman" w:eastAsia="Times New Roman" w:hAnsi="Times New Roman" w:cs="Times New Roman"/>
          <w:bCs/>
          <w:sz w:val="20"/>
          <w:szCs w:val="20"/>
        </w:rPr>
        <w:t xml:space="preserve">Another potential </w:t>
      </w:r>
      <w:r>
        <w:rPr>
          <w:rFonts w:ascii="Times New Roman" w:eastAsia="Times New Roman" w:hAnsi="Times New Roman" w:cs="Times New Roman"/>
          <w:bCs/>
          <w:sz w:val="20"/>
          <w:szCs w:val="20"/>
        </w:rPr>
        <w:t>reason for the low reaction</w:t>
      </w:r>
      <w:r w:rsidRPr="000B436B">
        <w:rPr>
          <w:rFonts w:ascii="Times New Roman" w:eastAsia="Times New Roman" w:hAnsi="Times New Roman" w:cs="Times New Roman"/>
          <w:bCs/>
          <w:sz w:val="20"/>
          <w:szCs w:val="20"/>
        </w:rPr>
        <w:t xml:space="preserve"> is that analysts predicted the event and incorporated its implications prior to the filing of the 8-K form. </w:t>
      </w:r>
      <w:r>
        <w:rPr>
          <w:rFonts w:ascii="Times New Roman" w:eastAsia="Times New Roman" w:hAnsi="Times New Roman" w:cs="Times New Roman"/>
          <w:bCs/>
          <w:sz w:val="20"/>
          <w:szCs w:val="20"/>
        </w:rPr>
        <w:t>Although plausible, this explanation is unlikely because the reporting of 8-K arrival time is idiosyncratic as it depends on the occurrence of firm specific events. For example, it is hard to envision an analyst  predicting entry into material agreements while at the same time predicting the terms of the agreement and its impact on future earnings.</w:t>
      </w:r>
    </w:p>
  </w:footnote>
  <w:footnote w:id="6">
    <w:p w:rsidR="00302A78" w:rsidRPr="00890F59" w:rsidRDefault="00302A78" w:rsidP="006D7812">
      <w:pPr>
        <w:pStyle w:val="FootnoteText"/>
        <w:jc w:val="both"/>
        <w:rPr>
          <w:rStyle w:val="FootnoteReference"/>
          <w:rFonts w:ascii="Times New Roman" w:hAnsi="Times New Roman" w:cs="Times New Roman"/>
          <w:sz w:val="20"/>
          <w:szCs w:val="20"/>
          <w:vertAlign w:val="baseline"/>
        </w:rPr>
      </w:pPr>
      <w:r w:rsidRPr="00890F59">
        <w:rPr>
          <w:rStyle w:val="FootnoteReference"/>
          <w:rFonts w:ascii="Times New Roman" w:hAnsi="Times New Roman" w:cs="Times New Roman"/>
          <w:sz w:val="20"/>
          <w:szCs w:val="20"/>
        </w:rPr>
        <w:footnoteRef/>
      </w:r>
      <w:r w:rsidRPr="00890F59">
        <w:rPr>
          <w:rStyle w:val="FootnoteReference"/>
          <w:rFonts w:ascii="Times New Roman" w:hAnsi="Times New Roman" w:cs="Times New Roman"/>
          <w:sz w:val="20"/>
          <w:szCs w:val="20"/>
        </w:rPr>
        <w:t xml:space="preserve"> </w:t>
      </w:r>
      <w:r>
        <w:rPr>
          <w:rStyle w:val="FootnoteReference"/>
          <w:rFonts w:ascii="Times New Roman" w:hAnsi="Times New Roman" w:cs="Times New Roman"/>
          <w:sz w:val="20"/>
          <w:szCs w:val="20"/>
          <w:vertAlign w:val="baseline"/>
        </w:rPr>
        <w:t>We choose 2005 as the starting year because the SEC mandated significant changes to the 8-K form that became effective on August 23, 2004. These changes expanded significantly the number of items (i.e. scope of material events) that have to be reported via an 8-K form</w:t>
      </w:r>
      <w:r>
        <w:rPr>
          <w:rFonts w:ascii="Times New Roman" w:hAnsi="Times New Roman" w:cs="Times New Roman"/>
          <w:sz w:val="20"/>
          <w:szCs w:val="20"/>
        </w:rPr>
        <w:t>, and hence, resulted in a significantly different form</w:t>
      </w:r>
      <w:r>
        <w:rPr>
          <w:rStyle w:val="FootnoteReference"/>
          <w:rFonts w:ascii="Times New Roman" w:hAnsi="Times New Roman" w:cs="Times New Roman"/>
          <w:sz w:val="20"/>
          <w:szCs w:val="20"/>
          <w:vertAlign w:val="baseline"/>
        </w:rPr>
        <w:t xml:space="preserve">. </w:t>
      </w:r>
    </w:p>
  </w:footnote>
  <w:footnote w:id="7">
    <w:p w:rsidR="00302A78" w:rsidRDefault="00302A78">
      <w:pPr>
        <w:pStyle w:val="FootnoteText"/>
      </w:pPr>
      <w:r>
        <w:rPr>
          <w:rStyle w:val="FootnoteReference"/>
        </w:rPr>
        <w:footnoteRef/>
      </w:r>
      <w:r>
        <w:t xml:space="preserve"> </w:t>
      </w:r>
      <w:r w:rsidRPr="0090011B">
        <w:rPr>
          <w:rFonts w:ascii="Times New Roman" w:hAnsi="Times New Roman" w:cs="Times New Roman"/>
          <w:sz w:val="20"/>
          <w:szCs w:val="20"/>
        </w:rPr>
        <w:t xml:space="preserve">We compute the number of analysts who follow the firm based on the number of analysts who issue </w:t>
      </w:r>
      <w:r>
        <w:rPr>
          <w:rFonts w:ascii="Times New Roman" w:hAnsi="Times New Roman" w:cs="Times New Roman"/>
          <w:sz w:val="20"/>
          <w:szCs w:val="20"/>
        </w:rPr>
        <w:t xml:space="preserve">at least one </w:t>
      </w:r>
      <w:r w:rsidRPr="0090011B">
        <w:rPr>
          <w:rFonts w:ascii="Times New Roman" w:hAnsi="Times New Roman" w:cs="Times New Roman"/>
          <w:sz w:val="20"/>
          <w:szCs w:val="20"/>
        </w:rPr>
        <w:t>forecast during the fiscal year</w:t>
      </w:r>
      <w:r>
        <w:rPr>
          <w:rFonts w:ascii="Times New Roman" w:hAnsi="Times New Roman" w:cs="Times New Roman"/>
          <w:sz w:val="20"/>
          <w:szCs w:val="20"/>
        </w:rPr>
        <w:t>.</w:t>
      </w:r>
    </w:p>
  </w:footnote>
  <w:footnote w:id="8">
    <w:p w:rsidR="00302A78" w:rsidRDefault="00302A78" w:rsidP="000F523D">
      <w:pPr>
        <w:pStyle w:val="FootnoteText"/>
        <w:jc w:val="both"/>
      </w:pPr>
      <w:r>
        <w:rPr>
          <w:rStyle w:val="FootnoteReference"/>
        </w:rPr>
        <w:footnoteRef/>
      </w:r>
      <w:r>
        <w:t xml:space="preserve"> </w:t>
      </w:r>
      <w:r>
        <w:rPr>
          <w:rFonts w:ascii="Times New Roman" w:hAnsi="Times New Roman" w:cs="Times New Roman"/>
          <w:sz w:val="20"/>
          <w:szCs w:val="20"/>
        </w:rPr>
        <w:t xml:space="preserve">Item 9.01 includes Financial Statements and Exhibits. Companies typically report Item 9.01 together with Item 2.02 (Results of Operations), or when the company enters into an agreement (for example, Item 1.01). Since the informational context of Item 9.01 depends on the other items reported in the form, we do not treat Item 9.01 as a separate item. Finally, some of the events that are to be reported on an 8-K form, such as Item 1.04 (Mine Safety) and Item 1.03 (Bankruptcy and Receivership), do not appear in our sample.  </w:t>
      </w:r>
    </w:p>
  </w:footnote>
  <w:footnote w:id="9">
    <w:p w:rsidR="00302A78" w:rsidRDefault="00302A78" w:rsidP="00AA2794">
      <w:pPr>
        <w:pStyle w:val="FootnoteText"/>
        <w:jc w:val="both"/>
      </w:pPr>
      <w:r>
        <w:rPr>
          <w:rStyle w:val="FootnoteReference"/>
        </w:rPr>
        <w:footnoteRef/>
      </w:r>
      <w:r>
        <w:t xml:space="preserve"> </w:t>
      </w:r>
      <w:r w:rsidRPr="002F1557">
        <w:rPr>
          <w:rFonts w:ascii="Times New Roman" w:eastAsia="Times New Roman" w:hAnsi="Times New Roman" w:cs="Times New Roman"/>
          <w:bCs/>
          <w:sz w:val="20"/>
          <w:szCs w:val="20"/>
        </w:rPr>
        <w:t xml:space="preserve">Note that the number of items is larger </w:t>
      </w:r>
      <w:r>
        <w:rPr>
          <w:rFonts w:ascii="Times New Roman" w:eastAsia="Times New Roman" w:hAnsi="Times New Roman" w:cs="Times New Roman"/>
          <w:bCs/>
          <w:sz w:val="20"/>
          <w:szCs w:val="20"/>
        </w:rPr>
        <w:t xml:space="preserve">by about 20% compared to the number of 8-K </w:t>
      </w:r>
      <w:r w:rsidRPr="002F1557">
        <w:rPr>
          <w:rFonts w:ascii="Times New Roman" w:eastAsia="Times New Roman" w:hAnsi="Times New Roman" w:cs="Times New Roman"/>
          <w:bCs/>
          <w:sz w:val="20"/>
          <w:szCs w:val="20"/>
        </w:rPr>
        <w:t>(122,772 vs. 102,083)</w:t>
      </w:r>
      <w:r>
        <w:t>.</w:t>
      </w:r>
    </w:p>
  </w:footnote>
  <w:footnote w:id="10">
    <w:p w:rsidR="00302A78" w:rsidRDefault="00302A78" w:rsidP="00D22770">
      <w:pPr>
        <w:pStyle w:val="FootnoteText"/>
        <w:jc w:val="both"/>
      </w:pPr>
      <w:r>
        <w:rPr>
          <w:rStyle w:val="FootnoteReference"/>
        </w:rPr>
        <w:footnoteRef/>
      </w:r>
      <w:r>
        <w:t xml:space="preserve"> </w:t>
      </w:r>
      <w:r w:rsidRPr="00D22770">
        <w:rPr>
          <w:rFonts w:ascii="Times New Roman" w:hAnsi="Times New Roman" w:cs="Times New Roman"/>
          <w:bCs/>
          <w:sz w:val="20"/>
          <w:szCs w:val="20"/>
          <w:lang w:val="en-CA"/>
        </w:rPr>
        <w:t xml:space="preserve">The number of observations in the Likelihood of Reaction </w:t>
      </w:r>
      <w:r>
        <w:rPr>
          <w:rFonts w:ascii="Times New Roman" w:hAnsi="Times New Roman" w:cs="Times New Roman"/>
          <w:bCs/>
          <w:sz w:val="20"/>
          <w:szCs w:val="20"/>
          <w:lang w:val="en-CA"/>
        </w:rPr>
        <w:t xml:space="preserve">regression </w:t>
      </w:r>
      <w:r w:rsidRPr="00D22770">
        <w:rPr>
          <w:rFonts w:ascii="Times New Roman" w:hAnsi="Times New Roman" w:cs="Times New Roman"/>
          <w:bCs/>
          <w:sz w:val="20"/>
          <w:szCs w:val="20"/>
          <w:lang w:val="en-CA"/>
        </w:rPr>
        <w:t xml:space="preserve">is smaller because there are </w:t>
      </w:r>
      <w:r>
        <w:rPr>
          <w:rFonts w:ascii="Times New Roman" w:hAnsi="Times New Roman" w:cs="Times New Roman"/>
          <w:bCs/>
          <w:sz w:val="20"/>
          <w:szCs w:val="20"/>
          <w:lang w:val="en-CA"/>
        </w:rPr>
        <w:t>419 firms where</w:t>
      </w:r>
      <w:r w:rsidRPr="00D22770">
        <w:rPr>
          <w:rFonts w:ascii="Times New Roman" w:hAnsi="Times New Roman" w:cs="Times New Roman"/>
          <w:bCs/>
          <w:sz w:val="20"/>
          <w:szCs w:val="20"/>
          <w:lang w:val="en-CA"/>
        </w:rPr>
        <w:t xml:space="preserve"> </w:t>
      </w:r>
      <w:r>
        <w:rPr>
          <w:rFonts w:ascii="Times New Roman" w:hAnsi="Times New Roman" w:cs="Times New Roman"/>
          <w:bCs/>
          <w:sz w:val="20"/>
          <w:szCs w:val="20"/>
          <w:lang w:val="en-CA"/>
        </w:rPr>
        <w:t>the</w:t>
      </w:r>
      <w:r w:rsidRPr="00D22770">
        <w:rPr>
          <w:rFonts w:ascii="Times New Roman" w:hAnsi="Times New Roman" w:cs="Times New Roman"/>
          <w:bCs/>
          <w:sz w:val="20"/>
          <w:szCs w:val="20"/>
          <w:lang w:val="en-CA"/>
        </w:rPr>
        <w:t xml:space="preserve"> </w:t>
      </w:r>
      <w:r>
        <w:rPr>
          <w:rFonts w:ascii="Times New Roman" w:hAnsi="Times New Roman" w:cs="Times New Roman"/>
          <w:bCs/>
          <w:sz w:val="20"/>
          <w:szCs w:val="20"/>
          <w:lang w:val="en-CA"/>
        </w:rPr>
        <w:t>Likelihood of R</w:t>
      </w:r>
      <w:r w:rsidRPr="00D22770">
        <w:rPr>
          <w:rFonts w:ascii="Times New Roman" w:hAnsi="Times New Roman" w:cs="Times New Roman"/>
          <w:bCs/>
          <w:sz w:val="20"/>
          <w:szCs w:val="20"/>
          <w:lang w:val="en-CA"/>
        </w:rPr>
        <w:t xml:space="preserve">eaction </w:t>
      </w:r>
      <w:r>
        <w:rPr>
          <w:rFonts w:ascii="Times New Roman" w:hAnsi="Times New Roman" w:cs="Times New Roman"/>
          <w:bCs/>
          <w:sz w:val="20"/>
          <w:szCs w:val="20"/>
          <w:lang w:val="en-CA"/>
        </w:rPr>
        <w:t>is 0 or 1 across all 8-K</w:t>
      </w:r>
      <w:r w:rsidRPr="00D22770">
        <w:rPr>
          <w:rFonts w:ascii="Times New Roman" w:hAnsi="Times New Roman" w:cs="Times New Roman"/>
          <w:bCs/>
          <w:sz w:val="20"/>
          <w:szCs w:val="20"/>
          <w:lang w:val="en-CA"/>
        </w:rPr>
        <w:t>, and hence in such instances the dependent variable is fully explained by the firm fixed effect.</w:t>
      </w:r>
    </w:p>
  </w:footnote>
  <w:footnote w:id="11">
    <w:p w:rsidR="00302A78" w:rsidRDefault="00302A78" w:rsidP="00605E7E">
      <w:pPr>
        <w:pStyle w:val="FootnoteText"/>
        <w:jc w:val="both"/>
      </w:pPr>
      <w:r>
        <w:rPr>
          <w:rStyle w:val="FootnoteReference"/>
        </w:rPr>
        <w:footnoteRef/>
      </w:r>
      <w:r>
        <w:t xml:space="preserve"> </w:t>
      </w:r>
      <w:r w:rsidRPr="001F3EF1">
        <w:rPr>
          <w:rFonts w:ascii="Times New Roman" w:hAnsi="Times New Roman" w:cs="Times New Roman"/>
          <w:bCs/>
          <w:sz w:val="20"/>
          <w:szCs w:val="20"/>
          <w:lang w:val="en-CA"/>
        </w:rPr>
        <w:t xml:space="preserve">We use </w:t>
      </w:r>
      <w:r>
        <w:rPr>
          <w:rFonts w:ascii="Times New Roman" w:hAnsi="Times New Roman" w:cs="Times New Roman"/>
          <w:bCs/>
          <w:sz w:val="20"/>
          <w:szCs w:val="20"/>
          <w:lang w:val="en-CA"/>
        </w:rPr>
        <w:t>three</w:t>
      </w:r>
      <w:r w:rsidRPr="001F3EF1">
        <w:rPr>
          <w:rFonts w:ascii="Times New Roman" w:hAnsi="Times New Roman" w:cs="Times New Roman"/>
          <w:bCs/>
          <w:sz w:val="20"/>
          <w:szCs w:val="20"/>
          <w:lang w:val="en-CA"/>
        </w:rPr>
        <w:t xml:space="preserve"> days after the filing date because some 8-K are filed on the last trading day of the week (Segal and Segal 2013)</w:t>
      </w:r>
      <w:r>
        <w:t>.</w:t>
      </w:r>
    </w:p>
  </w:footnote>
  <w:footnote w:id="12">
    <w:p w:rsidR="00302A78" w:rsidRDefault="00302A78" w:rsidP="00772653">
      <w:pPr>
        <w:pStyle w:val="FootnoteText"/>
        <w:jc w:val="both"/>
      </w:pPr>
      <w:r>
        <w:rPr>
          <w:rStyle w:val="FootnoteReference"/>
        </w:rPr>
        <w:footnoteRef/>
      </w:r>
      <w:r>
        <w:t xml:space="preserve"> </w:t>
      </w:r>
      <w:r w:rsidRPr="00772653">
        <w:rPr>
          <w:rFonts w:ascii="Times New Roman" w:hAnsi="Times New Roman" w:cs="Times New Roman"/>
          <w:bCs/>
          <w:sz w:val="20"/>
          <w:szCs w:val="20"/>
          <w:lang w:val="en-CA"/>
        </w:rPr>
        <w:t>We follow Cooper et al. (2001) and De Fr</w:t>
      </w:r>
      <w:r>
        <w:rPr>
          <w:rFonts w:ascii="Times New Roman" w:hAnsi="Times New Roman" w:cs="Times New Roman"/>
          <w:bCs/>
          <w:sz w:val="20"/>
          <w:szCs w:val="20"/>
          <w:lang w:val="en-CA"/>
        </w:rPr>
        <w:t>an</w:t>
      </w:r>
      <w:r w:rsidRPr="00772653">
        <w:rPr>
          <w:rFonts w:ascii="Times New Roman" w:hAnsi="Times New Roman" w:cs="Times New Roman"/>
          <w:bCs/>
          <w:sz w:val="20"/>
          <w:szCs w:val="20"/>
          <w:lang w:val="en-CA"/>
        </w:rPr>
        <w:t>co and Zhou (2009) and exclude any additional forecasts by the analyst in computing his/her Timeliness. In addition, if another analyst issued a forecast on the same day</w:t>
      </w:r>
      <w:r>
        <w:rPr>
          <w:rFonts w:ascii="Times New Roman" w:hAnsi="Times New Roman" w:cs="Times New Roman"/>
          <w:bCs/>
          <w:sz w:val="20"/>
          <w:szCs w:val="20"/>
          <w:lang w:val="en-CA"/>
        </w:rPr>
        <w:t>,</w:t>
      </w:r>
      <w:r w:rsidRPr="00772653">
        <w:rPr>
          <w:rFonts w:ascii="Times New Roman" w:hAnsi="Times New Roman" w:cs="Times New Roman"/>
          <w:bCs/>
          <w:sz w:val="20"/>
          <w:szCs w:val="20"/>
          <w:lang w:val="en-CA"/>
        </w:rPr>
        <w:t xml:space="preserve"> it is excluded from the computation of Timeliness.</w:t>
      </w:r>
    </w:p>
  </w:footnote>
  <w:footnote w:id="13">
    <w:p w:rsidR="00302A78" w:rsidRDefault="00302A78">
      <w:pPr>
        <w:pStyle w:val="FootnoteText"/>
      </w:pPr>
      <w:r>
        <w:rPr>
          <w:rStyle w:val="FootnoteReference"/>
        </w:rPr>
        <w:footnoteRef/>
      </w:r>
      <w:r>
        <w:t xml:space="preserve"> </w:t>
      </w:r>
      <w:r w:rsidRPr="000338A8">
        <w:rPr>
          <w:rFonts w:ascii="Times New Roman" w:hAnsi="Times New Roman" w:cs="Times New Roman"/>
          <w:sz w:val="20"/>
          <w:szCs w:val="20"/>
        </w:rPr>
        <w:t>We obtain similar results when we do not standardize the variables.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A05F4"/>
    <w:multiLevelType w:val="hybridMultilevel"/>
    <w:tmpl w:val="0E9A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93BF3"/>
    <w:multiLevelType w:val="hybridMultilevel"/>
    <w:tmpl w:val="AE8017FC"/>
    <w:lvl w:ilvl="0" w:tplc="82D23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05AFB"/>
    <w:multiLevelType w:val="multilevel"/>
    <w:tmpl w:val="35A2E7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C006338"/>
    <w:multiLevelType w:val="multilevel"/>
    <w:tmpl w:val="C2249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FELayout/>
  </w:compat>
  <w:rsids>
    <w:rsidRoot w:val="006D7812"/>
    <w:rsid w:val="00004AF0"/>
    <w:rsid w:val="0001084E"/>
    <w:rsid w:val="000144D0"/>
    <w:rsid w:val="00021C1A"/>
    <w:rsid w:val="0002479D"/>
    <w:rsid w:val="00024AB7"/>
    <w:rsid w:val="000338A8"/>
    <w:rsid w:val="000368EA"/>
    <w:rsid w:val="0004102B"/>
    <w:rsid w:val="00051B26"/>
    <w:rsid w:val="00053EF1"/>
    <w:rsid w:val="00066D76"/>
    <w:rsid w:val="00067AC1"/>
    <w:rsid w:val="00070CA8"/>
    <w:rsid w:val="00071C10"/>
    <w:rsid w:val="00096EAF"/>
    <w:rsid w:val="000A6C6D"/>
    <w:rsid w:val="000B372A"/>
    <w:rsid w:val="000B436B"/>
    <w:rsid w:val="000C2E48"/>
    <w:rsid w:val="000C3D80"/>
    <w:rsid w:val="000C6851"/>
    <w:rsid w:val="000C6EF2"/>
    <w:rsid w:val="000C7E22"/>
    <w:rsid w:val="000D6361"/>
    <w:rsid w:val="000E1D5D"/>
    <w:rsid w:val="000F523D"/>
    <w:rsid w:val="000F59FF"/>
    <w:rsid w:val="001018E8"/>
    <w:rsid w:val="0010207E"/>
    <w:rsid w:val="00102EC0"/>
    <w:rsid w:val="00106A9D"/>
    <w:rsid w:val="00106CC9"/>
    <w:rsid w:val="00107EE2"/>
    <w:rsid w:val="00113538"/>
    <w:rsid w:val="00125F1A"/>
    <w:rsid w:val="00144829"/>
    <w:rsid w:val="00156792"/>
    <w:rsid w:val="001573CC"/>
    <w:rsid w:val="00181207"/>
    <w:rsid w:val="001815C5"/>
    <w:rsid w:val="001854EE"/>
    <w:rsid w:val="00186603"/>
    <w:rsid w:val="0019286D"/>
    <w:rsid w:val="001948C3"/>
    <w:rsid w:val="001A00D1"/>
    <w:rsid w:val="001B1DE7"/>
    <w:rsid w:val="001B1E4F"/>
    <w:rsid w:val="001B7F85"/>
    <w:rsid w:val="001C06D5"/>
    <w:rsid w:val="001D6C87"/>
    <w:rsid w:val="001E1889"/>
    <w:rsid w:val="001E4573"/>
    <w:rsid w:val="001F017B"/>
    <w:rsid w:val="001F3EF1"/>
    <w:rsid w:val="001F5A4F"/>
    <w:rsid w:val="00200EEC"/>
    <w:rsid w:val="00201A16"/>
    <w:rsid w:val="00216C12"/>
    <w:rsid w:val="00223E29"/>
    <w:rsid w:val="00226DFF"/>
    <w:rsid w:val="002270FF"/>
    <w:rsid w:val="00237327"/>
    <w:rsid w:val="00251834"/>
    <w:rsid w:val="00251EA7"/>
    <w:rsid w:val="00256EF0"/>
    <w:rsid w:val="00291413"/>
    <w:rsid w:val="00297ED9"/>
    <w:rsid w:val="002A458C"/>
    <w:rsid w:val="002B7C7F"/>
    <w:rsid w:val="002C03DB"/>
    <w:rsid w:val="002C6604"/>
    <w:rsid w:val="002D4A2C"/>
    <w:rsid w:val="002E3C2E"/>
    <w:rsid w:val="002E3E99"/>
    <w:rsid w:val="002F14AB"/>
    <w:rsid w:val="002F5F3B"/>
    <w:rsid w:val="003004F9"/>
    <w:rsid w:val="00300822"/>
    <w:rsid w:val="00302A78"/>
    <w:rsid w:val="00304C6A"/>
    <w:rsid w:val="003057DF"/>
    <w:rsid w:val="0031135A"/>
    <w:rsid w:val="00323959"/>
    <w:rsid w:val="003260CC"/>
    <w:rsid w:val="00332242"/>
    <w:rsid w:val="00337E7B"/>
    <w:rsid w:val="003410CA"/>
    <w:rsid w:val="00346766"/>
    <w:rsid w:val="00347580"/>
    <w:rsid w:val="00367E30"/>
    <w:rsid w:val="00370808"/>
    <w:rsid w:val="00371690"/>
    <w:rsid w:val="003821E5"/>
    <w:rsid w:val="00387D4C"/>
    <w:rsid w:val="0039086A"/>
    <w:rsid w:val="003929B3"/>
    <w:rsid w:val="00395B3F"/>
    <w:rsid w:val="003A2816"/>
    <w:rsid w:val="003A3E96"/>
    <w:rsid w:val="003D1FEC"/>
    <w:rsid w:val="003D4B01"/>
    <w:rsid w:val="003D6C1A"/>
    <w:rsid w:val="003F0D77"/>
    <w:rsid w:val="003F6072"/>
    <w:rsid w:val="004052B7"/>
    <w:rsid w:val="00417BCB"/>
    <w:rsid w:val="00436B09"/>
    <w:rsid w:val="0046061A"/>
    <w:rsid w:val="00463330"/>
    <w:rsid w:val="00467F76"/>
    <w:rsid w:val="00470577"/>
    <w:rsid w:val="00470F7D"/>
    <w:rsid w:val="00472E09"/>
    <w:rsid w:val="00476E4D"/>
    <w:rsid w:val="00492149"/>
    <w:rsid w:val="00492D07"/>
    <w:rsid w:val="00494D6F"/>
    <w:rsid w:val="004A0E1D"/>
    <w:rsid w:val="004A31CF"/>
    <w:rsid w:val="004A6052"/>
    <w:rsid w:val="004A7977"/>
    <w:rsid w:val="004B15E6"/>
    <w:rsid w:val="004B1E97"/>
    <w:rsid w:val="004B5020"/>
    <w:rsid w:val="004C3EED"/>
    <w:rsid w:val="004D0374"/>
    <w:rsid w:val="004D1EAE"/>
    <w:rsid w:val="004D4B07"/>
    <w:rsid w:val="004D76CE"/>
    <w:rsid w:val="004F699B"/>
    <w:rsid w:val="005010D0"/>
    <w:rsid w:val="00503756"/>
    <w:rsid w:val="00513930"/>
    <w:rsid w:val="0053278F"/>
    <w:rsid w:val="0054036D"/>
    <w:rsid w:val="00542545"/>
    <w:rsid w:val="005461AD"/>
    <w:rsid w:val="00546BE5"/>
    <w:rsid w:val="0055084B"/>
    <w:rsid w:val="005541A4"/>
    <w:rsid w:val="00567F90"/>
    <w:rsid w:val="00580712"/>
    <w:rsid w:val="00590859"/>
    <w:rsid w:val="005931F8"/>
    <w:rsid w:val="005961B8"/>
    <w:rsid w:val="005976BD"/>
    <w:rsid w:val="005A3CFA"/>
    <w:rsid w:val="005B5620"/>
    <w:rsid w:val="005B73D7"/>
    <w:rsid w:val="005C0EA2"/>
    <w:rsid w:val="005C22F8"/>
    <w:rsid w:val="005D3550"/>
    <w:rsid w:val="005E1519"/>
    <w:rsid w:val="005F151E"/>
    <w:rsid w:val="005F49EB"/>
    <w:rsid w:val="005F5EF8"/>
    <w:rsid w:val="00605E7E"/>
    <w:rsid w:val="00613271"/>
    <w:rsid w:val="00613512"/>
    <w:rsid w:val="0061546E"/>
    <w:rsid w:val="00630958"/>
    <w:rsid w:val="00633570"/>
    <w:rsid w:val="00633A68"/>
    <w:rsid w:val="0063529E"/>
    <w:rsid w:val="00646AEE"/>
    <w:rsid w:val="006508D1"/>
    <w:rsid w:val="00650CD7"/>
    <w:rsid w:val="00665FBE"/>
    <w:rsid w:val="00667FDB"/>
    <w:rsid w:val="00671F73"/>
    <w:rsid w:val="006A44B1"/>
    <w:rsid w:val="006B07A6"/>
    <w:rsid w:val="006D3214"/>
    <w:rsid w:val="006D377E"/>
    <w:rsid w:val="006D7812"/>
    <w:rsid w:val="006E15E2"/>
    <w:rsid w:val="006F0872"/>
    <w:rsid w:val="006F62C6"/>
    <w:rsid w:val="0071070D"/>
    <w:rsid w:val="00712107"/>
    <w:rsid w:val="00720109"/>
    <w:rsid w:val="00732848"/>
    <w:rsid w:val="007346BA"/>
    <w:rsid w:val="00742D89"/>
    <w:rsid w:val="00751597"/>
    <w:rsid w:val="007525F5"/>
    <w:rsid w:val="00756DAD"/>
    <w:rsid w:val="00757B40"/>
    <w:rsid w:val="007634C5"/>
    <w:rsid w:val="00772653"/>
    <w:rsid w:val="0078191C"/>
    <w:rsid w:val="00787D96"/>
    <w:rsid w:val="00792C82"/>
    <w:rsid w:val="007A2822"/>
    <w:rsid w:val="007A4017"/>
    <w:rsid w:val="007A70E8"/>
    <w:rsid w:val="007C0C89"/>
    <w:rsid w:val="007C603A"/>
    <w:rsid w:val="007D4763"/>
    <w:rsid w:val="007F4D2D"/>
    <w:rsid w:val="007F53B1"/>
    <w:rsid w:val="00805E75"/>
    <w:rsid w:val="00826C7D"/>
    <w:rsid w:val="00826CFC"/>
    <w:rsid w:val="00835897"/>
    <w:rsid w:val="0085093B"/>
    <w:rsid w:val="00863936"/>
    <w:rsid w:val="00864EDD"/>
    <w:rsid w:val="008669AC"/>
    <w:rsid w:val="00872E17"/>
    <w:rsid w:val="008836E7"/>
    <w:rsid w:val="00884F80"/>
    <w:rsid w:val="00886E83"/>
    <w:rsid w:val="00887081"/>
    <w:rsid w:val="00890E88"/>
    <w:rsid w:val="008918F8"/>
    <w:rsid w:val="00892984"/>
    <w:rsid w:val="00894771"/>
    <w:rsid w:val="008C0AC3"/>
    <w:rsid w:val="008C37AC"/>
    <w:rsid w:val="008C794D"/>
    <w:rsid w:val="008D39CE"/>
    <w:rsid w:val="008D4299"/>
    <w:rsid w:val="008F51D8"/>
    <w:rsid w:val="008F6E42"/>
    <w:rsid w:val="0090011B"/>
    <w:rsid w:val="00905783"/>
    <w:rsid w:val="00912D11"/>
    <w:rsid w:val="009130C3"/>
    <w:rsid w:val="00917684"/>
    <w:rsid w:val="0092320D"/>
    <w:rsid w:val="00950455"/>
    <w:rsid w:val="00951AC5"/>
    <w:rsid w:val="00953352"/>
    <w:rsid w:val="00960284"/>
    <w:rsid w:val="00974E48"/>
    <w:rsid w:val="00987CA1"/>
    <w:rsid w:val="0099624A"/>
    <w:rsid w:val="00996AB9"/>
    <w:rsid w:val="009A2F88"/>
    <w:rsid w:val="009B2E97"/>
    <w:rsid w:val="009B5ADD"/>
    <w:rsid w:val="009C29D8"/>
    <w:rsid w:val="009C7D1C"/>
    <w:rsid w:val="009D4288"/>
    <w:rsid w:val="009E76C3"/>
    <w:rsid w:val="009E7E3B"/>
    <w:rsid w:val="009F042D"/>
    <w:rsid w:val="00A3309F"/>
    <w:rsid w:val="00A34BD9"/>
    <w:rsid w:val="00A35852"/>
    <w:rsid w:val="00A47E53"/>
    <w:rsid w:val="00A5269E"/>
    <w:rsid w:val="00A57C49"/>
    <w:rsid w:val="00A73AF8"/>
    <w:rsid w:val="00A74622"/>
    <w:rsid w:val="00A82A82"/>
    <w:rsid w:val="00A8753E"/>
    <w:rsid w:val="00A941E7"/>
    <w:rsid w:val="00AA2794"/>
    <w:rsid w:val="00AB2BCA"/>
    <w:rsid w:val="00AB3683"/>
    <w:rsid w:val="00AC6445"/>
    <w:rsid w:val="00AF3CE0"/>
    <w:rsid w:val="00B0631F"/>
    <w:rsid w:val="00B12F1E"/>
    <w:rsid w:val="00B25DDA"/>
    <w:rsid w:val="00B32A88"/>
    <w:rsid w:val="00B5024C"/>
    <w:rsid w:val="00B66FBA"/>
    <w:rsid w:val="00B9018D"/>
    <w:rsid w:val="00B90F60"/>
    <w:rsid w:val="00B962F0"/>
    <w:rsid w:val="00BA0C34"/>
    <w:rsid w:val="00BA57C6"/>
    <w:rsid w:val="00BB3AE2"/>
    <w:rsid w:val="00BB6770"/>
    <w:rsid w:val="00BC1AE7"/>
    <w:rsid w:val="00BD5F21"/>
    <w:rsid w:val="00BE036D"/>
    <w:rsid w:val="00BE64DC"/>
    <w:rsid w:val="00BF0A1B"/>
    <w:rsid w:val="00BF3E4B"/>
    <w:rsid w:val="00BF40ED"/>
    <w:rsid w:val="00BF7BF8"/>
    <w:rsid w:val="00C04A1A"/>
    <w:rsid w:val="00C373EF"/>
    <w:rsid w:val="00C50D55"/>
    <w:rsid w:val="00C548E9"/>
    <w:rsid w:val="00C66197"/>
    <w:rsid w:val="00C71E4F"/>
    <w:rsid w:val="00C743D9"/>
    <w:rsid w:val="00C806C0"/>
    <w:rsid w:val="00C839A2"/>
    <w:rsid w:val="00C92937"/>
    <w:rsid w:val="00C9382D"/>
    <w:rsid w:val="00CA0423"/>
    <w:rsid w:val="00CA3CD1"/>
    <w:rsid w:val="00CB3704"/>
    <w:rsid w:val="00CF49C7"/>
    <w:rsid w:val="00CF4EEE"/>
    <w:rsid w:val="00D21DA5"/>
    <w:rsid w:val="00D22770"/>
    <w:rsid w:val="00D302B8"/>
    <w:rsid w:val="00D37150"/>
    <w:rsid w:val="00D42461"/>
    <w:rsid w:val="00D440AF"/>
    <w:rsid w:val="00D46314"/>
    <w:rsid w:val="00D520A7"/>
    <w:rsid w:val="00D54063"/>
    <w:rsid w:val="00D54EBA"/>
    <w:rsid w:val="00D73670"/>
    <w:rsid w:val="00D74F83"/>
    <w:rsid w:val="00D76BDF"/>
    <w:rsid w:val="00D76C68"/>
    <w:rsid w:val="00D97261"/>
    <w:rsid w:val="00DB39B8"/>
    <w:rsid w:val="00DF0E1F"/>
    <w:rsid w:val="00E16207"/>
    <w:rsid w:val="00E35F3A"/>
    <w:rsid w:val="00E42A31"/>
    <w:rsid w:val="00E43C88"/>
    <w:rsid w:val="00E443B1"/>
    <w:rsid w:val="00E50B78"/>
    <w:rsid w:val="00E54338"/>
    <w:rsid w:val="00E61CA3"/>
    <w:rsid w:val="00E63528"/>
    <w:rsid w:val="00E6765F"/>
    <w:rsid w:val="00E67F8E"/>
    <w:rsid w:val="00E73051"/>
    <w:rsid w:val="00E81B8D"/>
    <w:rsid w:val="00E8727A"/>
    <w:rsid w:val="00E8797D"/>
    <w:rsid w:val="00E9678C"/>
    <w:rsid w:val="00EA5470"/>
    <w:rsid w:val="00EA7C1E"/>
    <w:rsid w:val="00EA7CEA"/>
    <w:rsid w:val="00EB2D7E"/>
    <w:rsid w:val="00EC332F"/>
    <w:rsid w:val="00EC5F5D"/>
    <w:rsid w:val="00ED7436"/>
    <w:rsid w:val="00EE241D"/>
    <w:rsid w:val="00EE4B48"/>
    <w:rsid w:val="00EE5120"/>
    <w:rsid w:val="00EF012E"/>
    <w:rsid w:val="00EF38CA"/>
    <w:rsid w:val="00EF4A21"/>
    <w:rsid w:val="00F10E1F"/>
    <w:rsid w:val="00F13672"/>
    <w:rsid w:val="00F15642"/>
    <w:rsid w:val="00F15B36"/>
    <w:rsid w:val="00F17FD8"/>
    <w:rsid w:val="00F25385"/>
    <w:rsid w:val="00F3712C"/>
    <w:rsid w:val="00F44B4C"/>
    <w:rsid w:val="00F50C1E"/>
    <w:rsid w:val="00F5202B"/>
    <w:rsid w:val="00F6242A"/>
    <w:rsid w:val="00F66A06"/>
    <w:rsid w:val="00F73119"/>
    <w:rsid w:val="00F86344"/>
    <w:rsid w:val="00F871B7"/>
    <w:rsid w:val="00F87FE9"/>
    <w:rsid w:val="00FA224B"/>
    <w:rsid w:val="00FA55EB"/>
    <w:rsid w:val="00FA692B"/>
    <w:rsid w:val="00FC614B"/>
    <w:rsid w:val="00FC78AB"/>
    <w:rsid w:val="00FC7C95"/>
    <w:rsid w:val="00FD2961"/>
    <w:rsid w:val="00FE07D5"/>
    <w:rsid w:val="00FE6249"/>
    <w:rsid w:val="00FF35A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D7812"/>
    <w:rPr>
      <w:rFonts w:asciiTheme="minorHAnsi" w:hAnsiTheme="minorHAnsi" w:cstheme="minorBidi"/>
    </w:rPr>
  </w:style>
  <w:style w:type="character" w:customStyle="1" w:styleId="FootnoteTextChar">
    <w:name w:val="Footnote Text Char"/>
    <w:basedOn w:val="DefaultParagraphFont"/>
    <w:link w:val="FootnoteText"/>
    <w:rsid w:val="006D7812"/>
    <w:rPr>
      <w:rFonts w:asciiTheme="minorHAnsi" w:hAnsiTheme="minorHAnsi" w:cstheme="minorBidi"/>
    </w:rPr>
  </w:style>
  <w:style w:type="character" w:styleId="FootnoteReference">
    <w:name w:val="footnote reference"/>
    <w:basedOn w:val="DefaultParagraphFont"/>
    <w:unhideWhenUsed/>
    <w:rsid w:val="006D7812"/>
    <w:rPr>
      <w:vertAlign w:val="superscript"/>
    </w:rPr>
  </w:style>
  <w:style w:type="paragraph" w:styleId="Header">
    <w:name w:val="header"/>
    <w:basedOn w:val="Normal"/>
    <w:link w:val="HeaderChar"/>
    <w:uiPriority w:val="99"/>
    <w:unhideWhenUsed/>
    <w:rsid w:val="00887081"/>
    <w:pPr>
      <w:tabs>
        <w:tab w:val="center" w:pos="4320"/>
        <w:tab w:val="right" w:pos="8640"/>
      </w:tabs>
    </w:pPr>
  </w:style>
  <w:style w:type="character" w:customStyle="1" w:styleId="HeaderChar">
    <w:name w:val="Header Char"/>
    <w:basedOn w:val="DefaultParagraphFont"/>
    <w:link w:val="Header"/>
    <w:uiPriority w:val="99"/>
    <w:rsid w:val="00887081"/>
  </w:style>
  <w:style w:type="paragraph" w:styleId="Footer">
    <w:name w:val="footer"/>
    <w:basedOn w:val="Normal"/>
    <w:link w:val="FooterChar"/>
    <w:uiPriority w:val="99"/>
    <w:unhideWhenUsed/>
    <w:rsid w:val="00887081"/>
    <w:pPr>
      <w:tabs>
        <w:tab w:val="center" w:pos="4320"/>
        <w:tab w:val="right" w:pos="8640"/>
      </w:tabs>
    </w:pPr>
  </w:style>
  <w:style w:type="character" w:customStyle="1" w:styleId="FooterChar">
    <w:name w:val="Footer Char"/>
    <w:basedOn w:val="DefaultParagraphFont"/>
    <w:link w:val="Footer"/>
    <w:uiPriority w:val="99"/>
    <w:rsid w:val="00887081"/>
  </w:style>
  <w:style w:type="table" w:styleId="LightShading">
    <w:name w:val="Light Shading"/>
    <w:basedOn w:val="TableNormal"/>
    <w:uiPriority w:val="60"/>
    <w:rsid w:val="00346766"/>
    <w:rPr>
      <w:rFonts w:ascii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17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BC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A3CD1"/>
    <w:rPr>
      <w:sz w:val="16"/>
      <w:szCs w:val="16"/>
    </w:rPr>
  </w:style>
  <w:style w:type="paragraph" w:styleId="CommentText">
    <w:name w:val="annotation text"/>
    <w:basedOn w:val="Normal"/>
    <w:link w:val="CommentTextChar"/>
    <w:uiPriority w:val="99"/>
    <w:unhideWhenUsed/>
    <w:rsid w:val="00CA3CD1"/>
    <w:rPr>
      <w:sz w:val="20"/>
      <w:szCs w:val="20"/>
    </w:rPr>
  </w:style>
  <w:style w:type="character" w:customStyle="1" w:styleId="CommentTextChar">
    <w:name w:val="Comment Text Char"/>
    <w:basedOn w:val="DefaultParagraphFont"/>
    <w:link w:val="CommentText"/>
    <w:uiPriority w:val="99"/>
    <w:rsid w:val="00CA3CD1"/>
    <w:rPr>
      <w:sz w:val="20"/>
      <w:szCs w:val="20"/>
    </w:rPr>
  </w:style>
  <w:style w:type="paragraph" w:styleId="CommentSubject">
    <w:name w:val="annotation subject"/>
    <w:basedOn w:val="CommentText"/>
    <w:next w:val="CommentText"/>
    <w:link w:val="CommentSubjectChar"/>
    <w:uiPriority w:val="99"/>
    <w:semiHidden/>
    <w:unhideWhenUsed/>
    <w:rsid w:val="00CA3CD1"/>
    <w:rPr>
      <w:b/>
      <w:bCs/>
    </w:rPr>
  </w:style>
  <w:style w:type="character" w:customStyle="1" w:styleId="CommentSubjectChar">
    <w:name w:val="Comment Subject Char"/>
    <w:basedOn w:val="CommentTextChar"/>
    <w:link w:val="CommentSubject"/>
    <w:uiPriority w:val="99"/>
    <w:semiHidden/>
    <w:rsid w:val="00CA3CD1"/>
    <w:rPr>
      <w:b/>
      <w:bCs/>
      <w:sz w:val="20"/>
      <w:szCs w:val="20"/>
    </w:rPr>
  </w:style>
  <w:style w:type="paragraph" w:styleId="ListParagraph">
    <w:name w:val="List Paragraph"/>
    <w:basedOn w:val="Normal"/>
    <w:uiPriority w:val="34"/>
    <w:qFormat/>
    <w:rsid w:val="003A2816"/>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F25385"/>
    <w:rPr>
      <w:color w:val="808080"/>
    </w:rPr>
  </w:style>
  <w:style w:type="character" w:customStyle="1" w:styleId="citation">
    <w:name w:val="citation"/>
    <w:basedOn w:val="DefaultParagraphFont"/>
    <w:rsid w:val="00C743D9"/>
  </w:style>
  <w:style w:type="character" w:customStyle="1" w:styleId="FootnoteCharacters">
    <w:name w:val="Footnote Characters"/>
    <w:rsid w:val="00492D07"/>
  </w:style>
  <w:style w:type="paragraph" w:customStyle="1" w:styleId="FootnoteText1">
    <w:name w:val="Footnote Text1"/>
    <w:basedOn w:val="Normal"/>
    <w:rsid w:val="00492D07"/>
    <w:pPr>
      <w:suppressAutoHyphens/>
    </w:pPr>
    <w:rPr>
      <w:rFonts w:ascii="Cambria" w:eastAsia="SimSun" w:hAnsi="Cambria" w:cs="Tahoma"/>
      <w:kern w:val="1"/>
      <w:lang w:eastAsia="ar-SA"/>
    </w:rPr>
  </w:style>
  <w:style w:type="character" w:styleId="Hyperlink">
    <w:name w:val="Hyperlink"/>
    <w:basedOn w:val="DefaultParagraphFont"/>
    <w:uiPriority w:val="99"/>
    <w:unhideWhenUsed/>
    <w:rsid w:val="004052B7"/>
    <w:rPr>
      <w:color w:val="0000FF" w:themeColor="hyperlink"/>
      <w:u w:val="single"/>
    </w:rPr>
  </w:style>
  <w:style w:type="character" w:customStyle="1" w:styleId="apple-converted-space">
    <w:name w:val="apple-converted-space"/>
    <w:basedOn w:val="DefaultParagraphFont"/>
    <w:rsid w:val="00960284"/>
  </w:style>
  <w:style w:type="character" w:customStyle="1" w:styleId="txtlarge">
    <w:name w:val="txtlarge"/>
    <w:basedOn w:val="DefaultParagraphFont"/>
    <w:rsid w:val="00960284"/>
  </w:style>
  <w:style w:type="paragraph" w:styleId="HTMLPreformatted">
    <w:name w:val="HTML Preformatted"/>
    <w:basedOn w:val="Normal"/>
    <w:link w:val="HTMLPreformattedChar"/>
    <w:rsid w:val="00CB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kern w:val="1"/>
      <w:sz w:val="20"/>
      <w:szCs w:val="20"/>
      <w:lang w:eastAsia="ar-SA"/>
    </w:rPr>
  </w:style>
  <w:style w:type="character" w:customStyle="1" w:styleId="HTMLPreformattedChar">
    <w:name w:val="HTML Preformatted Char"/>
    <w:basedOn w:val="DefaultParagraphFont"/>
    <w:link w:val="HTMLPreformatted"/>
    <w:rsid w:val="00CB3704"/>
    <w:rPr>
      <w:rFonts w:ascii="Courier New" w:eastAsia="Times New Roman" w:hAnsi="Courier New" w:cs="Courier New"/>
      <w:kern w:val="1"/>
      <w:sz w:val="20"/>
      <w:szCs w:val="20"/>
      <w:lang w:eastAsia="ar-SA"/>
    </w:rPr>
  </w:style>
  <w:style w:type="paragraph" w:customStyle="1" w:styleId="StyleBoldCentered">
    <w:name w:val="Style Bold Centered"/>
    <w:basedOn w:val="Normal"/>
    <w:rsid w:val="00CB3704"/>
    <w:pPr>
      <w:suppressAutoHyphens/>
      <w:spacing w:after="240"/>
      <w:jc w:val="center"/>
    </w:pPr>
    <w:rPr>
      <w:rFonts w:eastAsia="Times New Roman"/>
      <w:b/>
      <w:bCs/>
      <w:kern w:val="1"/>
      <w:szCs w:val="20"/>
      <w:lang w:eastAsia="ar-SA"/>
    </w:rPr>
  </w:style>
  <w:style w:type="paragraph" w:styleId="Title">
    <w:name w:val="Title"/>
    <w:basedOn w:val="Normal"/>
    <w:next w:val="Subtitle"/>
    <w:link w:val="TitleChar"/>
    <w:qFormat/>
    <w:rsid w:val="00D73670"/>
    <w:pPr>
      <w:suppressAutoHyphens/>
      <w:spacing w:line="480" w:lineRule="auto"/>
      <w:jc w:val="center"/>
    </w:pPr>
    <w:rPr>
      <w:rFonts w:eastAsia="Times New Roman"/>
      <w:b/>
      <w:bCs/>
      <w:kern w:val="1"/>
      <w:sz w:val="36"/>
      <w:szCs w:val="20"/>
      <w:lang w:eastAsia="ar-SA"/>
    </w:rPr>
  </w:style>
  <w:style w:type="character" w:customStyle="1" w:styleId="TitleChar">
    <w:name w:val="Title Char"/>
    <w:basedOn w:val="DefaultParagraphFont"/>
    <w:link w:val="Title"/>
    <w:rsid w:val="00D73670"/>
    <w:rPr>
      <w:rFonts w:eastAsia="Times New Roman"/>
      <w:b/>
      <w:bCs/>
      <w:kern w:val="1"/>
      <w:sz w:val="36"/>
      <w:szCs w:val="20"/>
      <w:lang w:eastAsia="ar-SA"/>
    </w:rPr>
  </w:style>
  <w:style w:type="paragraph" w:styleId="Subtitle">
    <w:name w:val="Subtitle"/>
    <w:basedOn w:val="Normal"/>
    <w:next w:val="Normal"/>
    <w:link w:val="SubtitleChar"/>
    <w:uiPriority w:val="11"/>
    <w:qFormat/>
    <w:rsid w:val="00D736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73670"/>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436B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D7812"/>
    <w:rPr>
      <w:rFonts w:asciiTheme="minorHAnsi" w:hAnsiTheme="minorHAnsi" w:cstheme="minorBidi"/>
    </w:rPr>
  </w:style>
  <w:style w:type="character" w:customStyle="1" w:styleId="FootnoteTextChar">
    <w:name w:val="Footnote Text Char"/>
    <w:basedOn w:val="DefaultParagraphFont"/>
    <w:link w:val="FootnoteText"/>
    <w:rsid w:val="006D7812"/>
    <w:rPr>
      <w:rFonts w:asciiTheme="minorHAnsi" w:hAnsiTheme="minorHAnsi" w:cstheme="minorBidi"/>
    </w:rPr>
  </w:style>
  <w:style w:type="character" w:styleId="FootnoteReference">
    <w:name w:val="footnote reference"/>
    <w:basedOn w:val="DefaultParagraphFont"/>
    <w:unhideWhenUsed/>
    <w:rsid w:val="006D7812"/>
    <w:rPr>
      <w:vertAlign w:val="superscript"/>
    </w:rPr>
  </w:style>
  <w:style w:type="paragraph" w:styleId="Header">
    <w:name w:val="header"/>
    <w:basedOn w:val="Normal"/>
    <w:link w:val="HeaderChar"/>
    <w:uiPriority w:val="99"/>
    <w:unhideWhenUsed/>
    <w:rsid w:val="00887081"/>
    <w:pPr>
      <w:tabs>
        <w:tab w:val="center" w:pos="4320"/>
        <w:tab w:val="right" w:pos="8640"/>
      </w:tabs>
    </w:pPr>
  </w:style>
  <w:style w:type="character" w:customStyle="1" w:styleId="HeaderChar">
    <w:name w:val="Header Char"/>
    <w:basedOn w:val="DefaultParagraphFont"/>
    <w:link w:val="Header"/>
    <w:uiPriority w:val="99"/>
    <w:rsid w:val="00887081"/>
  </w:style>
  <w:style w:type="paragraph" w:styleId="Footer">
    <w:name w:val="footer"/>
    <w:basedOn w:val="Normal"/>
    <w:link w:val="FooterChar"/>
    <w:uiPriority w:val="99"/>
    <w:unhideWhenUsed/>
    <w:rsid w:val="00887081"/>
    <w:pPr>
      <w:tabs>
        <w:tab w:val="center" w:pos="4320"/>
        <w:tab w:val="right" w:pos="8640"/>
      </w:tabs>
    </w:pPr>
  </w:style>
  <w:style w:type="character" w:customStyle="1" w:styleId="FooterChar">
    <w:name w:val="Footer Char"/>
    <w:basedOn w:val="DefaultParagraphFont"/>
    <w:link w:val="Footer"/>
    <w:uiPriority w:val="99"/>
    <w:rsid w:val="00887081"/>
  </w:style>
  <w:style w:type="table" w:styleId="LightShading">
    <w:name w:val="Light Shading"/>
    <w:basedOn w:val="TableNormal"/>
    <w:uiPriority w:val="60"/>
    <w:rsid w:val="00346766"/>
    <w:rPr>
      <w:rFonts w:asciiTheme="minorHAnsi"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17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BC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A3CD1"/>
    <w:rPr>
      <w:sz w:val="16"/>
      <w:szCs w:val="16"/>
    </w:rPr>
  </w:style>
  <w:style w:type="paragraph" w:styleId="CommentText">
    <w:name w:val="annotation text"/>
    <w:basedOn w:val="Normal"/>
    <w:link w:val="CommentTextChar"/>
    <w:uiPriority w:val="99"/>
    <w:unhideWhenUsed/>
    <w:rsid w:val="00CA3CD1"/>
    <w:rPr>
      <w:sz w:val="20"/>
      <w:szCs w:val="20"/>
    </w:rPr>
  </w:style>
  <w:style w:type="character" w:customStyle="1" w:styleId="CommentTextChar">
    <w:name w:val="Comment Text Char"/>
    <w:basedOn w:val="DefaultParagraphFont"/>
    <w:link w:val="CommentText"/>
    <w:uiPriority w:val="99"/>
    <w:rsid w:val="00CA3CD1"/>
    <w:rPr>
      <w:sz w:val="20"/>
      <w:szCs w:val="20"/>
    </w:rPr>
  </w:style>
  <w:style w:type="paragraph" w:styleId="CommentSubject">
    <w:name w:val="annotation subject"/>
    <w:basedOn w:val="CommentText"/>
    <w:next w:val="CommentText"/>
    <w:link w:val="CommentSubjectChar"/>
    <w:uiPriority w:val="99"/>
    <w:semiHidden/>
    <w:unhideWhenUsed/>
    <w:rsid w:val="00CA3CD1"/>
    <w:rPr>
      <w:b/>
      <w:bCs/>
    </w:rPr>
  </w:style>
  <w:style w:type="character" w:customStyle="1" w:styleId="CommentSubjectChar">
    <w:name w:val="Comment Subject Char"/>
    <w:basedOn w:val="CommentTextChar"/>
    <w:link w:val="CommentSubject"/>
    <w:uiPriority w:val="99"/>
    <w:semiHidden/>
    <w:rsid w:val="00CA3CD1"/>
    <w:rPr>
      <w:b/>
      <w:bCs/>
      <w:sz w:val="20"/>
      <w:szCs w:val="20"/>
    </w:rPr>
  </w:style>
  <w:style w:type="paragraph" w:styleId="ListParagraph">
    <w:name w:val="List Paragraph"/>
    <w:basedOn w:val="Normal"/>
    <w:uiPriority w:val="34"/>
    <w:qFormat/>
    <w:rsid w:val="003A2816"/>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F25385"/>
    <w:rPr>
      <w:color w:val="808080"/>
    </w:rPr>
  </w:style>
  <w:style w:type="character" w:customStyle="1" w:styleId="citation">
    <w:name w:val="citation"/>
    <w:basedOn w:val="DefaultParagraphFont"/>
    <w:rsid w:val="00C743D9"/>
  </w:style>
  <w:style w:type="character" w:customStyle="1" w:styleId="FootnoteCharacters">
    <w:name w:val="Footnote Characters"/>
    <w:rsid w:val="00492D07"/>
  </w:style>
  <w:style w:type="paragraph" w:customStyle="1" w:styleId="FootnoteText1">
    <w:name w:val="Footnote Text1"/>
    <w:basedOn w:val="Normal"/>
    <w:rsid w:val="00492D07"/>
    <w:pPr>
      <w:suppressAutoHyphens/>
    </w:pPr>
    <w:rPr>
      <w:rFonts w:ascii="Cambria" w:eastAsia="SimSun" w:hAnsi="Cambria" w:cs="Tahoma"/>
      <w:kern w:val="1"/>
      <w:lang w:eastAsia="ar-SA"/>
    </w:rPr>
  </w:style>
  <w:style w:type="character" w:styleId="Hyperlink">
    <w:name w:val="Hyperlink"/>
    <w:basedOn w:val="DefaultParagraphFont"/>
    <w:uiPriority w:val="99"/>
    <w:unhideWhenUsed/>
    <w:rsid w:val="004052B7"/>
    <w:rPr>
      <w:color w:val="0000FF" w:themeColor="hyperlink"/>
      <w:u w:val="single"/>
    </w:rPr>
  </w:style>
  <w:style w:type="character" w:customStyle="1" w:styleId="apple-converted-space">
    <w:name w:val="apple-converted-space"/>
    <w:basedOn w:val="DefaultParagraphFont"/>
    <w:rsid w:val="00960284"/>
  </w:style>
  <w:style w:type="character" w:customStyle="1" w:styleId="txtlarge">
    <w:name w:val="txtlarge"/>
    <w:basedOn w:val="DefaultParagraphFont"/>
    <w:rsid w:val="00960284"/>
  </w:style>
  <w:style w:type="paragraph" w:styleId="HTMLPreformatted">
    <w:name w:val="HTML Preformatted"/>
    <w:basedOn w:val="Normal"/>
    <w:link w:val="HTMLPreformattedChar"/>
    <w:rsid w:val="00CB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kern w:val="1"/>
      <w:sz w:val="20"/>
      <w:szCs w:val="20"/>
      <w:lang w:eastAsia="ar-SA"/>
    </w:rPr>
  </w:style>
  <w:style w:type="character" w:customStyle="1" w:styleId="HTMLPreformattedChar">
    <w:name w:val="HTML Preformatted Char"/>
    <w:basedOn w:val="DefaultParagraphFont"/>
    <w:link w:val="HTMLPreformatted"/>
    <w:rsid w:val="00CB3704"/>
    <w:rPr>
      <w:rFonts w:ascii="Courier New" w:eastAsia="Times New Roman" w:hAnsi="Courier New" w:cs="Courier New"/>
      <w:kern w:val="1"/>
      <w:sz w:val="20"/>
      <w:szCs w:val="20"/>
      <w:lang w:eastAsia="ar-SA"/>
    </w:rPr>
  </w:style>
  <w:style w:type="paragraph" w:customStyle="1" w:styleId="StyleBoldCentered">
    <w:name w:val="Style Bold Centered"/>
    <w:basedOn w:val="Normal"/>
    <w:rsid w:val="00CB3704"/>
    <w:pPr>
      <w:suppressAutoHyphens/>
      <w:spacing w:after="240"/>
      <w:jc w:val="center"/>
    </w:pPr>
    <w:rPr>
      <w:rFonts w:eastAsia="Times New Roman"/>
      <w:b/>
      <w:bCs/>
      <w:kern w:val="1"/>
      <w:szCs w:val="20"/>
      <w:lang w:eastAsia="ar-SA"/>
    </w:rPr>
  </w:style>
  <w:style w:type="paragraph" w:styleId="Title">
    <w:name w:val="Title"/>
    <w:basedOn w:val="Normal"/>
    <w:next w:val="Subtitle"/>
    <w:link w:val="TitleChar"/>
    <w:qFormat/>
    <w:rsid w:val="00D73670"/>
    <w:pPr>
      <w:suppressAutoHyphens/>
      <w:spacing w:line="480" w:lineRule="auto"/>
      <w:jc w:val="center"/>
    </w:pPr>
    <w:rPr>
      <w:rFonts w:eastAsia="Times New Roman"/>
      <w:b/>
      <w:bCs/>
      <w:kern w:val="1"/>
      <w:sz w:val="36"/>
      <w:szCs w:val="20"/>
      <w:lang w:eastAsia="ar-SA"/>
    </w:rPr>
  </w:style>
  <w:style w:type="character" w:customStyle="1" w:styleId="TitleChar">
    <w:name w:val="Title Char"/>
    <w:basedOn w:val="DefaultParagraphFont"/>
    <w:link w:val="Title"/>
    <w:rsid w:val="00D73670"/>
    <w:rPr>
      <w:rFonts w:eastAsia="Times New Roman"/>
      <w:b/>
      <w:bCs/>
      <w:kern w:val="1"/>
      <w:sz w:val="36"/>
      <w:szCs w:val="20"/>
      <w:lang w:eastAsia="ar-SA"/>
    </w:rPr>
  </w:style>
  <w:style w:type="paragraph" w:styleId="Subtitle">
    <w:name w:val="Subtitle"/>
    <w:basedOn w:val="Normal"/>
    <w:next w:val="Normal"/>
    <w:link w:val="SubtitleChar"/>
    <w:uiPriority w:val="11"/>
    <w:qFormat/>
    <w:rsid w:val="00D736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73670"/>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436B09"/>
  </w:style>
</w:styles>
</file>

<file path=word/webSettings.xml><?xml version="1.0" encoding="utf-8"?>
<w:webSettings xmlns:r="http://schemas.openxmlformats.org/officeDocument/2006/relationships" xmlns:w="http://schemas.openxmlformats.org/wordprocessingml/2006/main">
  <w:divs>
    <w:div w:id="18705841">
      <w:bodyDiv w:val="1"/>
      <w:marLeft w:val="0"/>
      <w:marRight w:val="0"/>
      <w:marTop w:val="0"/>
      <w:marBottom w:val="0"/>
      <w:divBdr>
        <w:top w:val="none" w:sz="0" w:space="0" w:color="auto"/>
        <w:left w:val="none" w:sz="0" w:space="0" w:color="auto"/>
        <w:bottom w:val="none" w:sz="0" w:space="0" w:color="auto"/>
        <w:right w:val="none" w:sz="0" w:space="0" w:color="auto"/>
      </w:divBdr>
    </w:div>
    <w:div w:id="190001785">
      <w:bodyDiv w:val="1"/>
      <w:marLeft w:val="0"/>
      <w:marRight w:val="0"/>
      <w:marTop w:val="0"/>
      <w:marBottom w:val="0"/>
      <w:divBdr>
        <w:top w:val="none" w:sz="0" w:space="0" w:color="auto"/>
        <w:left w:val="none" w:sz="0" w:space="0" w:color="auto"/>
        <w:bottom w:val="none" w:sz="0" w:space="0" w:color="auto"/>
        <w:right w:val="none" w:sz="0" w:space="0" w:color="auto"/>
      </w:divBdr>
    </w:div>
    <w:div w:id="241913555">
      <w:bodyDiv w:val="1"/>
      <w:marLeft w:val="0"/>
      <w:marRight w:val="0"/>
      <w:marTop w:val="0"/>
      <w:marBottom w:val="0"/>
      <w:divBdr>
        <w:top w:val="none" w:sz="0" w:space="0" w:color="auto"/>
        <w:left w:val="none" w:sz="0" w:space="0" w:color="auto"/>
        <w:bottom w:val="none" w:sz="0" w:space="0" w:color="auto"/>
        <w:right w:val="none" w:sz="0" w:space="0" w:color="auto"/>
      </w:divBdr>
    </w:div>
    <w:div w:id="250427932">
      <w:bodyDiv w:val="1"/>
      <w:marLeft w:val="0"/>
      <w:marRight w:val="0"/>
      <w:marTop w:val="0"/>
      <w:marBottom w:val="0"/>
      <w:divBdr>
        <w:top w:val="none" w:sz="0" w:space="0" w:color="auto"/>
        <w:left w:val="none" w:sz="0" w:space="0" w:color="auto"/>
        <w:bottom w:val="none" w:sz="0" w:space="0" w:color="auto"/>
        <w:right w:val="none" w:sz="0" w:space="0" w:color="auto"/>
      </w:divBdr>
    </w:div>
    <w:div w:id="476726207">
      <w:bodyDiv w:val="1"/>
      <w:marLeft w:val="0"/>
      <w:marRight w:val="0"/>
      <w:marTop w:val="0"/>
      <w:marBottom w:val="0"/>
      <w:divBdr>
        <w:top w:val="none" w:sz="0" w:space="0" w:color="auto"/>
        <w:left w:val="none" w:sz="0" w:space="0" w:color="auto"/>
        <w:bottom w:val="none" w:sz="0" w:space="0" w:color="auto"/>
        <w:right w:val="none" w:sz="0" w:space="0" w:color="auto"/>
      </w:divBdr>
    </w:div>
    <w:div w:id="492063084">
      <w:bodyDiv w:val="1"/>
      <w:marLeft w:val="0"/>
      <w:marRight w:val="0"/>
      <w:marTop w:val="0"/>
      <w:marBottom w:val="0"/>
      <w:divBdr>
        <w:top w:val="none" w:sz="0" w:space="0" w:color="auto"/>
        <w:left w:val="none" w:sz="0" w:space="0" w:color="auto"/>
        <w:bottom w:val="none" w:sz="0" w:space="0" w:color="auto"/>
        <w:right w:val="none" w:sz="0" w:space="0" w:color="auto"/>
      </w:divBdr>
    </w:div>
    <w:div w:id="730229799">
      <w:bodyDiv w:val="1"/>
      <w:marLeft w:val="0"/>
      <w:marRight w:val="0"/>
      <w:marTop w:val="0"/>
      <w:marBottom w:val="0"/>
      <w:divBdr>
        <w:top w:val="none" w:sz="0" w:space="0" w:color="auto"/>
        <w:left w:val="none" w:sz="0" w:space="0" w:color="auto"/>
        <w:bottom w:val="none" w:sz="0" w:space="0" w:color="auto"/>
        <w:right w:val="none" w:sz="0" w:space="0" w:color="auto"/>
      </w:divBdr>
    </w:div>
    <w:div w:id="1073817084">
      <w:bodyDiv w:val="1"/>
      <w:marLeft w:val="0"/>
      <w:marRight w:val="0"/>
      <w:marTop w:val="0"/>
      <w:marBottom w:val="0"/>
      <w:divBdr>
        <w:top w:val="none" w:sz="0" w:space="0" w:color="auto"/>
        <w:left w:val="none" w:sz="0" w:space="0" w:color="auto"/>
        <w:bottom w:val="none" w:sz="0" w:space="0" w:color="auto"/>
        <w:right w:val="none" w:sz="0" w:space="0" w:color="auto"/>
      </w:divBdr>
    </w:div>
    <w:div w:id="1167939228">
      <w:bodyDiv w:val="1"/>
      <w:marLeft w:val="0"/>
      <w:marRight w:val="0"/>
      <w:marTop w:val="0"/>
      <w:marBottom w:val="0"/>
      <w:divBdr>
        <w:top w:val="none" w:sz="0" w:space="0" w:color="auto"/>
        <w:left w:val="none" w:sz="0" w:space="0" w:color="auto"/>
        <w:bottom w:val="none" w:sz="0" w:space="0" w:color="auto"/>
        <w:right w:val="none" w:sz="0" w:space="0" w:color="auto"/>
      </w:divBdr>
    </w:div>
    <w:div w:id="1178733180">
      <w:bodyDiv w:val="1"/>
      <w:marLeft w:val="0"/>
      <w:marRight w:val="0"/>
      <w:marTop w:val="0"/>
      <w:marBottom w:val="0"/>
      <w:divBdr>
        <w:top w:val="none" w:sz="0" w:space="0" w:color="auto"/>
        <w:left w:val="none" w:sz="0" w:space="0" w:color="auto"/>
        <w:bottom w:val="none" w:sz="0" w:space="0" w:color="auto"/>
        <w:right w:val="none" w:sz="0" w:space="0" w:color="auto"/>
      </w:divBdr>
    </w:div>
    <w:div w:id="1268461182">
      <w:bodyDiv w:val="1"/>
      <w:marLeft w:val="0"/>
      <w:marRight w:val="0"/>
      <w:marTop w:val="0"/>
      <w:marBottom w:val="0"/>
      <w:divBdr>
        <w:top w:val="none" w:sz="0" w:space="0" w:color="auto"/>
        <w:left w:val="none" w:sz="0" w:space="0" w:color="auto"/>
        <w:bottom w:val="none" w:sz="0" w:space="0" w:color="auto"/>
        <w:right w:val="none" w:sz="0" w:space="0" w:color="auto"/>
      </w:divBdr>
    </w:div>
    <w:div w:id="1376081276">
      <w:bodyDiv w:val="1"/>
      <w:marLeft w:val="0"/>
      <w:marRight w:val="0"/>
      <w:marTop w:val="0"/>
      <w:marBottom w:val="0"/>
      <w:divBdr>
        <w:top w:val="none" w:sz="0" w:space="0" w:color="auto"/>
        <w:left w:val="none" w:sz="0" w:space="0" w:color="auto"/>
        <w:bottom w:val="none" w:sz="0" w:space="0" w:color="auto"/>
        <w:right w:val="none" w:sz="0" w:space="0" w:color="auto"/>
      </w:divBdr>
    </w:div>
    <w:div w:id="1624383445">
      <w:bodyDiv w:val="1"/>
      <w:marLeft w:val="0"/>
      <w:marRight w:val="0"/>
      <w:marTop w:val="0"/>
      <w:marBottom w:val="0"/>
      <w:divBdr>
        <w:top w:val="none" w:sz="0" w:space="0" w:color="auto"/>
        <w:left w:val="none" w:sz="0" w:space="0" w:color="auto"/>
        <w:bottom w:val="none" w:sz="0" w:space="0" w:color="auto"/>
        <w:right w:val="none" w:sz="0" w:space="0" w:color="auto"/>
      </w:divBdr>
    </w:div>
    <w:div w:id="1667782666">
      <w:bodyDiv w:val="1"/>
      <w:marLeft w:val="0"/>
      <w:marRight w:val="0"/>
      <w:marTop w:val="0"/>
      <w:marBottom w:val="0"/>
      <w:divBdr>
        <w:top w:val="none" w:sz="0" w:space="0" w:color="auto"/>
        <w:left w:val="none" w:sz="0" w:space="0" w:color="auto"/>
        <w:bottom w:val="none" w:sz="0" w:space="0" w:color="auto"/>
        <w:right w:val="none" w:sz="0" w:space="0" w:color="auto"/>
      </w:divBdr>
    </w:div>
    <w:div w:id="1897352608">
      <w:bodyDiv w:val="1"/>
      <w:marLeft w:val="0"/>
      <w:marRight w:val="0"/>
      <w:marTop w:val="0"/>
      <w:marBottom w:val="0"/>
      <w:divBdr>
        <w:top w:val="none" w:sz="0" w:space="0" w:color="auto"/>
        <w:left w:val="none" w:sz="0" w:space="0" w:color="auto"/>
        <w:bottom w:val="none" w:sz="0" w:space="0" w:color="auto"/>
        <w:right w:val="none" w:sz="0" w:space="0" w:color="auto"/>
      </w:divBdr>
    </w:div>
    <w:div w:id="2101825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enjamin.Segal@insea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ebscohost.com/ehost/viewarticle?data=dGJyMPPp44rp2%2fdV0%2bnjisfk5Ie46bZLtKivUK6k63nn5Kx95uXxjL6orUq1pbBIr6meSbiotFKyp55Zy5zyit%2fk8Xnh6ueH7N%2fiVbOrtEqwqrJNr5zqeezdu33snOJ6u9jygKTq33%2b7t8w%2b3%2bS7TrSvr0%2byqLM%2b5OXwhd%2fqu37z4uqM4%2b7y&amp;hid=1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dsegal@idc.ac.il" TargetMode="External"/><Relationship Id="rId4" Type="http://schemas.openxmlformats.org/officeDocument/2006/relationships/settings" Target="settings.xml"/><Relationship Id="rId9" Type="http://schemas.openxmlformats.org/officeDocument/2006/relationships/hyperlink" Target="mailto:Benjamin.Segal@insea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6F3D-982B-4AB4-BFE1-7E4A0B8F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12461</Words>
  <Characters>62307</Characters>
  <Application>Microsoft Office Word</Application>
  <DocSecurity>0</DocSecurity>
  <Lines>519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Segal</dc:creator>
  <cp:lastModifiedBy>tau</cp:lastModifiedBy>
  <cp:revision>2</cp:revision>
  <cp:lastPrinted>2013-03-01T06:03:00Z</cp:lastPrinted>
  <dcterms:created xsi:type="dcterms:W3CDTF">2013-03-12T07:21:00Z</dcterms:created>
  <dcterms:modified xsi:type="dcterms:W3CDTF">2013-03-12T07:21:00Z</dcterms:modified>
</cp:coreProperties>
</file>